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DBE" w:rsidRDefault="00AE0DBE" w:rsidP="00496826">
      <w:pPr>
        <w:pStyle w:val="Heading1"/>
      </w:pPr>
      <w:r>
        <w:br/>
      </w:r>
      <w:r>
        <w:br/>
        <w:t>Recommended Updates to Net-to-</w:t>
      </w:r>
      <w:r w:rsidRPr="009F1EEF">
        <w:t xml:space="preserve">Gross Ratios for </w:t>
      </w:r>
      <w:r>
        <w:t>Non-</w:t>
      </w:r>
      <w:r w:rsidRPr="009F1EEF">
        <w:t xml:space="preserve">Residential </w:t>
      </w:r>
      <w:r>
        <w:t>Lighting</w:t>
      </w:r>
      <w:r w:rsidRPr="009F1EEF">
        <w:t xml:space="preserve"> Measures</w:t>
      </w:r>
    </w:p>
    <w:p w:rsidR="00AE0DBE" w:rsidRDefault="00AE0DBE" w:rsidP="00692A3B">
      <w:pPr>
        <w:pStyle w:val="Heading2"/>
        <w:numPr>
          <w:ilvl w:val="1"/>
          <w:numId w:val="9"/>
        </w:numPr>
      </w:pPr>
      <w:r w:rsidRPr="00A55320">
        <w:t>Introduction</w:t>
      </w:r>
    </w:p>
    <w:p w:rsidR="00AE0DBE" w:rsidRPr="00A55320" w:rsidRDefault="00AE0DBE" w:rsidP="00A55320">
      <w:r w:rsidRPr="00A55320">
        <w:t>In this analysis, the most recent NTGR results from the 2006-2008 EM&amp;V studies are compared to the existing values in the 2008</w:t>
      </w:r>
      <w:r>
        <w:t xml:space="preserve"> </w:t>
      </w:r>
      <w:r w:rsidRPr="00A55320">
        <w:t>DEER database to derive a recommended value for the measures in this technology group selected</w:t>
      </w:r>
      <w:r>
        <w:t xml:space="preserve"> </w:t>
      </w:r>
      <w:r w:rsidRPr="00A55320">
        <w:t>for the DEER 2011 update.</w:t>
      </w:r>
      <w:r>
        <w:t xml:space="preserve">  </w:t>
      </w:r>
      <w:r w:rsidRPr="00A55320">
        <w:t xml:space="preserve">For each measure, </w:t>
      </w:r>
      <w:r>
        <w:t>the DEER Team</w:t>
      </w:r>
      <w:r w:rsidRPr="00A55320">
        <w:t xml:space="preserve"> compare</w:t>
      </w:r>
      <w:r w:rsidR="009A1F8C">
        <w:t>s</w:t>
      </w:r>
      <w:r w:rsidRPr="00A55320">
        <w:t xml:space="preserve"> the strengths and weaknesses of the latest method used to derive NTGR results and contrast this to the relative strength of the method used to estimate</w:t>
      </w:r>
      <w:r>
        <w:t xml:space="preserve"> </w:t>
      </w:r>
      <w:r w:rsidRPr="00A55320">
        <w:t>NTGR for the 2008 DEER update.</w:t>
      </w:r>
      <w:r>
        <w:t xml:space="preserve">  </w:t>
      </w:r>
      <w:r w:rsidRPr="00A55320">
        <w:t>The factors used to make a final NTGR recommendation include:</w:t>
      </w:r>
      <w:r>
        <w:t xml:space="preserve"> </w:t>
      </w:r>
    </w:p>
    <w:p w:rsidR="00AE0DBE" w:rsidRPr="007D7B78" w:rsidRDefault="00AE0DBE" w:rsidP="005C6E80">
      <w:pPr>
        <w:pStyle w:val="ListParagraph"/>
        <w:numPr>
          <w:ilvl w:val="0"/>
          <w:numId w:val="10"/>
        </w:numPr>
      </w:pPr>
      <w:r w:rsidRPr="007D7B78">
        <w:t>The relative merits of the methods and sampling plans used to derive NTGR</w:t>
      </w:r>
      <w:r>
        <w:t xml:space="preserve"> estimates in </w:t>
      </w:r>
      <w:r w:rsidRPr="007D7B78">
        <w:t xml:space="preserve"> for existing DEER </w:t>
      </w:r>
      <w:r>
        <w:t>data base</w:t>
      </w:r>
      <w:r w:rsidRPr="007D7B78">
        <w:t xml:space="preserve"> and </w:t>
      </w:r>
      <w:r>
        <w:t xml:space="preserve"> those methods used to produce new NTG results in 2006-08 evaluation studies.</w:t>
      </w:r>
    </w:p>
    <w:p w:rsidR="00AE0DBE" w:rsidRPr="007D7B78" w:rsidRDefault="00AE0DBE" w:rsidP="005C6E80">
      <w:pPr>
        <w:pStyle w:val="ListParagraph"/>
        <w:numPr>
          <w:ilvl w:val="0"/>
          <w:numId w:val="10"/>
        </w:numPr>
      </w:pPr>
      <w:r w:rsidRPr="007D7B78">
        <w:t>Potential changes in program design or measure minimum qualification levels between the previous evaluation and 2006-08 evaluation</w:t>
      </w:r>
      <w:r>
        <w:t>.</w:t>
      </w:r>
    </w:p>
    <w:p w:rsidR="00AE0DBE" w:rsidRPr="007D7B78" w:rsidRDefault="00AE0DBE" w:rsidP="005C6E80">
      <w:pPr>
        <w:pStyle w:val="ListParagraph"/>
        <w:numPr>
          <w:ilvl w:val="0"/>
          <w:numId w:val="10"/>
        </w:numPr>
      </w:pPr>
      <w:r w:rsidRPr="007D7B78">
        <w:t xml:space="preserve">Rate of change in the market share of </w:t>
      </w:r>
      <w:r>
        <w:t>more efficient building systems or</w:t>
      </w:r>
      <w:r w:rsidRPr="007D7B78">
        <w:t xml:space="preserve"> measures</w:t>
      </w:r>
      <w:r>
        <w:t xml:space="preserve"> </w:t>
      </w:r>
      <w:r w:rsidRPr="007D7B78">
        <w:t>over time</w:t>
      </w:r>
      <w:r>
        <w:t>.</w:t>
      </w:r>
    </w:p>
    <w:p w:rsidR="00AE0DBE" w:rsidRPr="007D7B78" w:rsidRDefault="00AE0DBE" w:rsidP="005C6E80">
      <w:pPr>
        <w:pStyle w:val="ListParagraph"/>
        <w:numPr>
          <w:ilvl w:val="0"/>
          <w:numId w:val="10"/>
        </w:numPr>
      </w:pPr>
      <w:r w:rsidRPr="007D7B78">
        <w:t xml:space="preserve">Any available evidence on trends in the incremental cost of </w:t>
      </w:r>
      <w:r>
        <w:t>specific</w:t>
      </w:r>
      <w:r w:rsidRPr="007D7B78">
        <w:t xml:space="preserve"> measures</w:t>
      </w:r>
      <w:r>
        <w:t xml:space="preserve"> and how these could lead to changes in qualifying rebate levels or estimated NTGR over time. </w:t>
      </w:r>
    </w:p>
    <w:p w:rsidR="00AE0DBE" w:rsidRDefault="00AE0DBE" w:rsidP="007D7B78">
      <w:pPr>
        <w:pStyle w:val="Halfline"/>
      </w:pPr>
    </w:p>
    <w:p w:rsidR="00AE0DBE" w:rsidRDefault="00AE0DBE" w:rsidP="00692A3B">
      <w:r w:rsidRPr="00692A3B">
        <w:t xml:space="preserve">After making a recommendation for a specific NTGR value to use in 2011 update, </w:t>
      </w:r>
      <w:r>
        <w:t>the DEER Team</w:t>
      </w:r>
      <w:r w:rsidRPr="00692A3B">
        <w:t xml:space="preserve"> identif</w:t>
      </w:r>
      <w:r>
        <w:t>ied</w:t>
      </w:r>
      <w:r w:rsidRPr="00692A3B">
        <w:t xml:space="preserve"> the program and market factors are likely to lead to changes in NTG results over the next three yea</w:t>
      </w:r>
      <w:r>
        <w:t>rs (</w:t>
      </w:r>
      <w:r w:rsidRPr="00692A3B">
        <w:t>the first year when thes</w:t>
      </w:r>
      <w:r>
        <w:t>e new NTGR values might be used</w:t>
      </w:r>
      <w:r w:rsidRPr="00692A3B">
        <w:t>)</w:t>
      </w:r>
      <w:r>
        <w:t>.</w:t>
      </w:r>
      <w:r w:rsidRPr="00692A3B">
        <w:t xml:space="preserve"> </w:t>
      </w:r>
      <w:r>
        <w:t>The DEER Team</w:t>
      </w:r>
      <w:r w:rsidRPr="00692A3B">
        <w:t xml:space="preserve"> then assess</w:t>
      </w:r>
      <w:r w:rsidR="009A1F8C">
        <w:t>ed</w:t>
      </w:r>
      <w:r w:rsidRPr="00692A3B">
        <w:t xml:space="preserve"> whether there </w:t>
      </w:r>
      <w:r w:rsidR="009A1F8C">
        <w:t>was</w:t>
      </w:r>
      <w:r w:rsidRPr="00692A3B">
        <w:t xml:space="preserve"> sufficient data and or analysis tools to accurately forecast the likely trend in NTGR values over the next three years for this specific measure and program design.  If there is sufficient data to make an accurate forecast absent any significant changes in program design and or qualifying levels for rebated measures, </w:t>
      </w:r>
      <w:r>
        <w:t>the DEER Team</w:t>
      </w:r>
      <w:r w:rsidRPr="00692A3B">
        <w:t xml:space="preserve"> produce</w:t>
      </w:r>
      <w:r w:rsidR="009A1F8C">
        <w:t>d</w:t>
      </w:r>
      <w:r w:rsidRPr="00692A3B">
        <w:t xml:space="preserve"> a forecast of NTGR for use in 2013-2014. </w:t>
      </w:r>
      <w:r>
        <w:t xml:space="preserve"> </w:t>
      </w:r>
      <w:r w:rsidRPr="00692A3B">
        <w:t>Finally</w:t>
      </w:r>
      <w:r>
        <w:t>,</w:t>
      </w:r>
      <w:r w:rsidRPr="00692A3B">
        <w:t xml:space="preserve"> </w:t>
      </w:r>
      <w:r>
        <w:t>the DEER Team</w:t>
      </w:r>
      <w:r w:rsidRPr="00692A3B">
        <w:t xml:space="preserve"> note</w:t>
      </w:r>
      <w:r w:rsidR="009A1F8C">
        <w:t>s</w:t>
      </w:r>
      <w:r w:rsidRPr="00692A3B">
        <w:t xml:space="preserve"> that if either the program design or qualifying efficiency level for measures </w:t>
      </w:r>
      <w:r>
        <w:t>is</w:t>
      </w:r>
      <w:r w:rsidRPr="00692A3B">
        <w:t xml:space="preserve"> changed significantly between 2009 and 2013, the forecast of NTGR should not be used in 2013 because it was based on the assumption of no major changes in design or qualifying levels</w:t>
      </w:r>
      <w:r>
        <w:t>.</w:t>
      </w:r>
    </w:p>
    <w:p w:rsidR="00AE0DBE" w:rsidRPr="00BF4CDF" w:rsidRDefault="00AE0DBE" w:rsidP="00BF4CDF">
      <w:pPr>
        <w:pStyle w:val="Heading2"/>
        <w:numPr>
          <w:ilvl w:val="1"/>
          <w:numId w:val="9"/>
        </w:numPr>
      </w:pPr>
      <w:r w:rsidRPr="00BF4CDF">
        <w:lastRenderedPageBreak/>
        <w:t>Comparison of Current DEER NTGR to Results from Latest EM&amp;V Analyses in 2006-2008</w:t>
      </w:r>
    </w:p>
    <w:p w:rsidR="00AE0DBE" w:rsidRDefault="00AE0DBE" w:rsidP="00A55320">
      <w:r>
        <w:t xml:space="preserve">The latest EM&amp;V analysis for non-residential lighting was performed by Itron during the 2006-2008 program cycle.  The results of the evaluation were reported in the 2006-2008 Small Commercial Contract Group (SCCG) Direct Impact report prepared for the California Public Utilities Commission.  </w:t>
      </w:r>
      <w:r w:rsidRPr="00A55320">
        <w:t>The objective of this analysis was to develop net-to-gross ratios</w:t>
      </w:r>
      <w:r>
        <w:t xml:space="preserve"> </w:t>
      </w:r>
      <w:r w:rsidRPr="00A55320">
        <w:t>(NTGR) for all HIMs and non-HIMs. A self-report methodology was utilized</w:t>
      </w:r>
      <w:r>
        <w:t>.  This methodology</w:t>
      </w:r>
      <w:r w:rsidRPr="00A55320">
        <w:t xml:space="preserve"> was</w:t>
      </w:r>
      <w:r>
        <w:t xml:space="preserve"> </w:t>
      </w:r>
      <w:r w:rsidRPr="00A55320">
        <w:t>developed by the Standard Non</w:t>
      </w:r>
      <w:r>
        <w:t>-</w:t>
      </w:r>
      <w:r w:rsidRPr="00A55320">
        <w:t xml:space="preserve">residential NTGR working group, which </w:t>
      </w:r>
      <w:r>
        <w:t>wa</w:t>
      </w:r>
      <w:r w:rsidRPr="00A55320">
        <w:t>s comprised of</w:t>
      </w:r>
      <w:r>
        <w:t xml:space="preserve"> </w:t>
      </w:r>
      <w:r w:rsidRPr="00A55320">
        <w:t xml:space="preserve">Energy Division and its technical consultants and evaluators. </w:t>
      </w:r>
      <w:r>
        <w:t xml:space="preserve"> </w:t>
      </w:r>
      <w:r w:rsidRPr="00A55320">
        <w:t>The methodology estimated</w:t>
      </w:r>
      <w:r>
        <w:t xml:space="preserve"> </w:t>
      </w:r>
      <w:r w:rsidRPr="00A55320">
        <w:t>four separate measurements of free ridership from different inquiry routes and then averaged</w:t>
      </w:r>
      <w:r>
        <w:t xml:space="preserve"> </w:t>
      </w:r>
      <w:r w:rsidRPr="00A55320">
        <w:t>the values to derive the final free ridership estimate at the measure level.</w:t>
      </w:r>
    </w:p>
    <w:p w:rsidR="00AE0DBE" w:rsidRDefault="00AE0DBE" w:rsidP="00A55320">
      <w:r>
        <w:t>The SCCG evaluation calculated NTGRs for CFLs, linear fluorescents, high bay fluorescents, and lighting controls.  Due to the limited sample size for high bays and similarities in results for the high bay fluorescents and linear fluorescents, these two measures were combined for the DEER recommendations.</w:t>
      </w:r>
    </w:p>
    <w:p w:rsidR="00AE0DBE" w:rsidRDefault="00201B90" w:rsidP="00B253DF">
      <w:r>
        <w:fldChar w:fldCharType="begin"/>
      </w:r>
      <w:r w:rsidR="00AE0DBE">
        <w:instrText xml:space="preserve"> REF _Ref307411907 \h </w:instrText>
      </w:r>
      <w:r>
        <w:fldChar w:fldCharType="separate"/>
      </w:r>
      <w:r w:rsidR="00496826">
        <w:t xml:space="preserve">Table </w:t>
      </w:r>
      <w:r w:rsidR="00496826">
        <w:rPr>
          <w:noProof/>
        </w:rPr>
        <w:t>7</w:t>
      </w:r>
      <w:r w:rsidR="00496826">
        <w:noBreakHyphen/>
      </w:r>
      <w:r w:rsidR="00496826">
        <w:rPr>
          <w:noProof/>
        </w:rPr>
        <w:t>1</w:t>
      </w:r>
      <w:r>
        <w:fldChar w:fldCharType="end"/>
      </w:r>
      <w:r w:rsidR="00AE0DBE">
        <w:t xml:space="preserve"> compares NTGR estimates for the leading lighting measures in the current DEER database to the latest results from the 2006-2008 evaluations.</w:t>
      </w:r>
    </w:p>
    <w:p w:rsidR="00AE0DBE" w:rsidRDefault="00AE0DBE" w:rsidP="00296A51">
      <w:pPr>
        <w:pStyle w:val="Caption"/>
      </w:pPr>
      <w:bookmarkStart w:id="0" w:name="_Ref307411907"/>
      <w:bookmarkStart w:id="1" w:name="_Ref307411893"/>
      <w:r>
        <w:lastRenderedPageBreak/>
        <w:t xml:space="preserve">Table </w:t>
      </w:r>
      <w:fldSimple w:instr=" STYLEREF 1 \s ">
        <w:r w:rsidR="00496826">
          <w:rPr>
            <w:noProof/>
          </w:rPr>
          <w:t>7</w:t>
        </w:r>
      </w:fldSimple>
      <w:r>
        <w:noBreakHyphen/>
      </w:r>
      <w:fldSimple w:instr=" SEQ Table \* ARABIC \s 1 ">
        <w:r w:rsidR="00496826">
          <w:rPr>
            <w:noProof/>
          </w:rPr>
          <w:t>1</w:t>
        </w:r>
      </w:fldSimple>
      <w:bookmarkEnd w:id="0"/>
      <w:r>
        <w:t xml:space="preserve">:  Overview of NTGR </w:t>
      </w:r>
      <w:r w:rsidR="007D664F">
        <w:t xml:space="preserve">Results </w:t>
      </w:r>
      <w:r>
        <w:t>by Measure, Delivery Mechanism and Vintage</w:t>
      </w:r>
      <w:bookmarkEnd w:id="1"/>
    </w:p>
    <w:tbl>
      <w:tblPr>
        <w:tblW w:w="936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43" w:type="dxa"/>
          <w:left w:w="43" w:type="dxa"/>
          <w:bottom w:w="43" w:type="dxa"/>
          <w:right w:w="43" w:type="dxa"/>
        </w:tblCellMar>
        <w:tblLook w:val="00A0"/>
      </w:tblPr>
      <w:tblGrid>
        <w:gridCol w:w="2340"/>
        <w:gridCol w:w="2095"/>
        <w:gridCol w:w="2585"/>
        <w:gridCol w:w="2340"/>
      </w:tblGrid>
      <w:tr w:rsidR="00AE0DBE" w:rsidRPr="007D7B78" w:rsidTr="00A235C0">
        <w:tc>
          <w:tcPr>
            <w:tcW w:w="2340" w:type="dxa"/>
            <w:tcBorders>
              <w:top w:val="single" w:sz="12" w:space="0" w:color="auto"/>
              <w:bottom w:val="single" w:sz="12" w:space="0" w:color="auto"/>
            </w:tcBorders>
            <w:shd w:val="pct20" w:color="auto" w:fill="auto"/>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b/>
                <w:sz w:val="20"/>
              </w:rPr>
            </w:pPr>
            <w:r w:rsidRPr="00A235C0">
              <w:rPr>
                <w:b/>
                <w:sz w:val="20"/>
              </w:rPr>
              <w:t>Energy Efficiency Measure</w:t>
            </w:r>
          </w:p>
        </w:tc>
        <w:tc>
          <w:tcPr>
            <w:tcW w:w="2095" w:type="dxa"/>
            <w:tcBorders>
              <w:top w:val="single" w:sz="12" w:space="0" w:color="auto"/>
              <w:bottom w:val="single" w:sz="12" w:space="0" w:color="auto"/>
            </w:tcBorders>
            <w:shd w:val="pct20" w:color="auto" w:fill="auto"/>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b/>
                <w:sz w:val="20"/>
              </w:rPr>
            </w:pPr>
            <w:r w:rsidRPr="00A235C0">
              <w:rPr>
                <w:b/>
                <w:sz w:val="20"/>
              </w:rPr>
              <w:t>Delivery Mechanism</w:t>
            </w:r>
          </w:p>
        </w:tc>
        <w:tc>
          <w:tcPr>
            <w:tcW w:w="2585" w:type="dxa"/>
            <w:tcBorders>
              <w:top w:val="single" w:sz="12" w:space="0" w:color="auto"/>
              <w:bottom w:val="single" w:sz="12" w:space="0" w:color="auto"/>
            </w:tcBorders>
            <w:shd w:val="pct20" w:color="auto" w:fill="auto"/>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b/>
                <w:sz w:val="20"/>
              </w:rPr>
            </w:pPr>
            <w:r w:rsidRPr="00A235C0">
              <w:rPr>
                <w:b/>
                <w:sz w:val="20"/>
              </w:rPr>
              <w:t>Existing DEER NTGR  Values (Source)</w:t>
            </w:r>
          </w:p>
        </w:tc>
        <w:tc>
          <w:tcPr>
            <w:tcW w:w="2340" w:type="dxa"/>
            <w:tcBorders>
              <w:top w:val="single" w:sz="12" w:space="0" w:color="auto"/>
              <w:bottom w:val="single" w:sz="12" w:space="0" w:color="auto"/>
            </w:tcBorders>
            <w:shd w:val="pct20" w:color="auto" w:fill="auto"/>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b/>
                <w:sz w:val="20"/>
              </w:rPr>
            </w:pPr>
            <w:r w:rsidRPr="00A235C0">
              <w:rPr>
                <w:b/>
                <w:sz w:val="20"/>
              </w:rPr>
              <w:t>06-08 NTGR Results (Source)</w:t>
            </w:r>
          </w:p>
        </w:tc>
      </w:tr>
      <w:tr w:rsidR="00AE0DBE" w:rsidRPr="007D7B78" w:rsidTr="00A235C0">
        <w:tc>
          <w:tcPr>
            <w:tcW w:w="2340"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CFLs</w:t>
            </w:r>
          </w:p>
        </w:tc>
        <w:tc>
          <w:tcPr>
            <w:tcW w:w="2095"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Downstream Prescriptive</w:t>
            </w:r>
          </w:p>
        </w:tc>
        <w:tc>
          <w:tcPr>
            <w:tcW w:w="2585"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.81 (0405 Express Efficiency)</w:t>
            </w:r>
          </w:p>
        </w:tc>
        <w:tc>
          <w:tcPr>
            <w:tcW w:w="2340"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0.53 (0608 Small Commercial Report)</w:t>
            </w:r>
          </w:p>
        </w:tc>
      </w:tr>
      <w:tr w:rsidR="00AE0DBE" w:rsidRPr="007D7B78" w:rsidTr="00A235C0">
        <w:tc>
          <w:tcPr>
            <w:tcW w:w="2340"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CFLs</w:t>
            </w:r>
          </w:p>
        </w:tc>
        <w:tc>
          <w:tcPr>
            <w:tcW w:w="2095"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Direct Install</w:t>
            </w:r>
          </w:p>
        </w:tc>
        <w:tc>
          <w:tcPr>
            <w:tcW w:w="2585"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.85 (0405 SDG&amp;E Small Business)</w:t>
            </w:r>
          </w:p>
        </w:tc>
        <w:tc>
          <w:tcPr>
            <w:tcW w:w="2340"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0.80 (0608 Small Commercial Report)</w:t>
            </w:r>
          </w:p>
        </w:tc>
      </w:tr>
      <w:tr w:rsidR="00AE0DBE" w:rsidRPr="007D7B78" w:rsidTr="00A235C0">
        <w:tc>
          <w:tcPr>
            <w:tcW w:w="2340"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Linear Fluorescents</w:t>
            </w:r>
          </w:p>
        </w:tc>
        <w:tc>
          <w:tcPr>
            <w:tcW w:w="2095"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Downstream Prescriptive</w:t>
            </w:r>
          </w:p>
        </w:tc>
        <w:tc>
          <w:tcPr>
            <w:tcW w:w="2585"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.78 (0405 Express Efficiency)</w:t>
            </w:r>
          </w:p>
        </w:tc>
        <w:tc>
          <w:tcPr>
            <w:tcW w:w="2340"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0.70 (0608 Small Commercial Report)</w:t>
            </w:r>
          </w:p>
        </w:tc>
      </w:tr>
      <w:tr w:rsidR="00AE0DBE" w:rsidRPr="007D7B78" w:rsidTr="00A235C0">
        <w:tc>
          <w:tcPr>
            <w:tcW w:w="2340"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Linear Fluorescents</w:t>
            </w:r>
          </w:p>
        </w:tc>
        <w:tc>
          <w:tcPr>
            <w:tcW w:w="2095"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Direct Install</w:t>
            </w:r>
          </w:p>
        </w:tc>
        <w:tc>
          <w:tcPr>
            <w:tcW w:w="2585"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.85 (0405 SDG&amp;E Small Business)</w:t>
            </w:r>
          </w:p>
        </w:tc>
        <w:tc>
          <w:tcPr>
            <w:tcW w:w="2340"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0.89 (0608 Small Commercial Report)</w:t>
            </w:r>
          </w:p>
        </w:tc>
      </w:tr>
      <w:tr w:rsidR="00AE0DBE" w:rsidRPr="007D7B78" w:rsidTr="00A235C0">
        <w:tc>
          <w:tcPr>
            <w:tcW w:w="2340"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Lighting Controls</w:t>
            </w:r>
          </w:p>
        </w:tc>
        <w:tc>
          <w:tcPr>
            <w:tcW w:w="2095"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Downstream Prescriptive</w:t>
            </w:r>
          </w:p>
        </w:tc>
        <w:tc>
          <w:tcPr>
            <w:tcW w:w="2585"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.84 (0405 Express Evaluation)</w:t>
            </w:r>
          </w:p>
        </w:tc>
        <w:tc>
          <w:tcPr>
            <w:tcW w:w="2340" w:type="dxa"/>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0.60 (0608 Small Commercial Report)</w:t>
            </w:r>
          </w:p>
        </w:tc>
      </w:tr>
      <w:tr w:rsidR="00AE0DBE" w:rsidRPr="007D7B78" w:rsidTr="00A235C0">
        <w:tc>
          <w:tcPr>
            <w:tcW w:w="2340" w:type="dxa"/>
            <w:tcBorders>
              <w:bottom w:val="single" w:sz="12" w:space="0" w:color="auto"/>
            </w:tcBorders>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Lighting Controls</w:t>
            </w:r>
          </w:p>
        </w:tc>
        <w:tc>
          <w:tcPr>
            <w:tcW w:w="2095" w:type="dxa"/>
            <w:tcBorders>
              <w:bottom w:val="single" w:sz="12" w:space="0" w:color="auto"/>
            </w:tcBorders>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Direct Install</w:t>
            </w:r>
          </w:p>
        </w:tc>
        <w:tc>
          <w:tcPr>
            <w:tcW w:w="2585" w:type="dxa"/>
            <w:tcBorders>
              <w:bottom w:val="single" w:sz="12" w:space="0" w:color="auto"/>
            </w:tcBorders>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.85 (0405 SDG&amp;E Small Business)</w:t>
            </w:r>
          </w:p>
        </w:tc>
        <w:tc>
          <w:tcPr>
            <w:tcW w:w="2340" w:type="dxa"/>
            <w:tcBorders>
              <w:bottom w:val="single" w:sz="12" w:space="0" w:color="auto"/>
            </w:tcBorders>
            <w:tcMar>
              <w:top w:w="29" w:type="dxa"/>
              <w:left w:w="29" w:type="dxa"/>
              <w:bottom w:w="29" w:type="dxa"/>
              <w:right w:w="29" w:type="dxa"/>
            </w:tcMar>
            <w:vAlign w:val="center"/>
          </w:tcPr>
          <w:p w:rsidR="00AE0DBE" w:rsidRPr="00A235C0" w:rsidRDefault="00AE0DBE" w:rsidP="00A235C0">
            <w:pPr>
              <w:keepNext/>
              <w:keepLines/>
              <w:spacing w:before="40" w:after="40" w:line="240" w:lineRule="auto"/>
              <w:jc w:val="center"/>
              <w:rPr>
                <w:sz w:val="20"/>
              </w:rPr>
            </w:pPr>
            <w:r w:rsidRPr="00A235C0">
              <w:rPr>
                <w:sz w:val="20"/>
              </w:rPr>
              <w:t>0.89 (0608 Small Commercial Report)</w:t>
            </w:r>
          </w:p>
        </w:tc>
      </w:tr>
    </w:tbl>
    <w:p w:rsidR="00AE0DBE" w:rsidRPr="000B1D6F" w:rsidRDefault="00AE0DBE" w:rsidP="00E44BF3">
      <w:pPr>
        <w:pStyle w:val="Heading2"/>
      </w:pPr>
      <w:r>
        <w:t xml:space="preserve">Comparison of Methods and Sample Sizes </w:t>
      </w:r>
      <w:r w:rsidR="007D664F">
        <w:t xml:space="preserve">Used </w:t>
      </w:r>
      <w:r>
        <w:t>to Derive NTGR Results</w:t>
      </w:r>
    </w:p>
    <w:p w:rsidR="00AE0DBE" w:rsidRDefault="00AE0DBE" w:rsidP="000B7C5E">
      <w:r>
        <w:t xml:space="preserve">Both the 2004-2005 Express Efficiency evaluation (used to support current NTGR values in DEER) and the SCCG Report used the self-report method to estimate NTG for CFLs, linear fluorescents, and lighting controls.  The 2008 DEER and the latest evaluation study also used discrete choice analysis to estimate the NTG for linear </w:t>
      </w:r>
      <w:r w:rsidRPr="00A80487">
        <w:t xml:space="preserve">fluorescents.  The </w:t>
      </w:r>
      <w:r>
        <w:t>SCCG</w:t>
      </w:r>
      <w:r w:rsidRPr="00A80487">
        <w:t xml:space="preserve"> </w:t>
      </w:r>
      <w:r>
        <w:t>e</w:t>
      </w:r>
      <w:r w:rsidRPr="00A80487">
        <w:t xml:space="preserve">valuation included </w:t>
      </w:r>
      <w:r>
        <w:t>2,680</w:t>
      </w:r>
      <w:r w:rsidRPr="00A80487">
        <w:t xml:space="preserve"> participants</w:t>
      </w:r>
      <w:r>
        <w:t xml:space="preserve"> statewide</w:t>
      </w:r>
      <w:r w:rsidRPr="00A80487">
        <w:t xml:space="preserve"> in the self-report NTG analysis.  This greatly exceeds the </w:t>
      </w:r>
      <w:r>
        <w:t>862</w:t>
      </w:r>
      <w:r w:rsidRPr="00A80487">
        <w:t xml:space="preserve"> participants included in the 2004-2005 </w:t>
      </w:r>
      <w:r w:rsidRPr="001535E7">
        <w:t>Express Efficiency</w:t>
      </w:r>
      <w:r w:rsidRPr="00A80487" w:rsidDel="003E48B8">
        <w:t xml:space="preserve"> </w:t>
      </w:r>
      <w:r w:rsidRPr="00A80487">
        <w:t>Evaluation and the 150 participants included in the Evaluation of the SDG&amp;E 2004-2005 Small Business Energy Efficiency Program.</w:t>
      </w:r>
      <w:r>
        <w:t xml:space="preserve">  </w:t>
      </w:r>
    </w:p>
    <w:p w:rsidR="00AE0DBE" w:rsidRDefault="00AE0DBE" w:rsidP="005C6E80">
      <w:r w:rsidRPr="005C6E80">
        <w:t xml:space="preserve">The recommended NTGR values from the most recent evaluation study are </w:t>
      </w:r>
      <w:r>
        <w:t>up to 28</w:t>
      </w:r>
      <w:r w:rsidRPr="005C6E80">
        <w:t xml:space="preserve"> percent lower than existing NTGR values because of three factors: </w:t>
      </w:r>
    </w:p>
    <w:p w:rsidR="00AE0DBE" w:rsidRDefault="00AE0DBE" w:rsidP="005C6E80">
      <w:pPr>
        <w:pStyle w:val="ListParagraph"/>
        <w:numPr>
          <w:ilvl w:val="0"/>
          <w:numId w:val="12"/>
        </w:numPr>
      </w:pPr>
      <w:r>
        <w:t>Diffusion of new product information and success stories over time- e</w:t>
      </w:r>
      <w:r w:rsidR="009A1F8C">
        <w:t>.</w:t>
      </w:r>
      <w:r>
        <w:t>g</w:t>
      </w:r>
      <w:r w:rsidR="009A1F8C">
        <w:t>.</w:t>
      </w:r>
      <w:r>
        <w:t xml:space="preserve"> more commercial customers become aware of efficient lighting systems and as a result are willing to buy them as standard business practice.</w:t>
      </w:r>
    </w:p>
    <w:p w:rsidR="00AE0DBE" w:rsidRDefault="00AE0DBE" w:rsidP="00D55120">
      <w:pPr>
        <w:pStyle w:val="ListParagraph"/>
        <w:numPr>
          <w:ilvl w:val="0"/>
          <w:numId w:val="14"/>
        </w:numPr>
      </w:pPr>
      <w:r>
        <w:t>More accurate evaluation methods and larger sample sizes.</w:t>
      </w:r>
    </w:p>
    <w:p w:rsidR="00AE0DBE" w:rsidRDefault="00AE0DBE" w:rsidP="005C6E80">
      <w:pPr>
        <w:pStyle w:val="ListParagraph"/>
        <w:numPr>
          <w:ilvl w:val="0"/>
          <w:numId w:val="13"/>
        </w:numPr>
      </w:pPr>
      <w:r>
        <w:t xml:space="preserve">Increases in availability and declines in cost of more energy efficient lighting systems over time reinforce likelihood that more efficient lighting systems will become standard business practice for a higher fraction of customers (who will be identified as free rider in </w:t>
      </w:r>
      <w:r w:rsidRPr="005C6E80">
        <w:t>NTG analysis</w:t>
      </w:r>
      <w:r>
        <w:t>.</w:t>
      </w:r>
      <w:r w:rsidRPr="005C6E80">
        <w:t>)</w:t>
      </w:r>
    </w:p>
    <w:p w:rsidR="00AE0DBE" w:rsidRDefault="00AE0DBE" w:rsidP="005C6E80">
      <w:pPr>
        <w:pStyle w:val="Halfline"/>
      </w:pPr>
    </w:p>
    <w:p w:rsidR="00AE0DBE" w:rsidRDefault="00AE0DBE" w:rsidP="000B7C5E">
      <w:r w:rsidRPr="005C6E80">
        <w:t>Overall, the DEER team finds that the most recent evaluation conducted in 2008 contains better,</w:t>
      </w:r>
      <w:r>
        <w:t xml:space="preserve"> more precise information than the existing DEER based on a review of the methodologies, sample sizes and applicability. </w:t>
      </w:r>
      <w:r w:rsidR="00201B90">
        <w:fldChar w:fldCharType="begin"/>
      </w:r>
      <w:r>
        <w:instrText xml:space="preserve"> REF _Ref305756264 \h </w:instrText>
      </w:r>
      <w:r w:rsidR="00201B90">
        <w:fldChar w:fldCharType="separate"/>
      </w:r>
      <w:r w:rsidR="00496826">
        <w:t xml:space="preserve">Table </w:t>
      </w:r>
      <w:r w:rsidR="00496826">
        <w:rPr>
          <w:noProof/>
        </w:rPr>
        <w:t>7</w:t>
      </w:r>
      <w:r w:rsidR="00496826">
        <w:noBreakHyphen/>
      </w:r>
      <w:r w:rsidR="00496826">
        <w:rPr>
          <w:noProof/>
        </w:rPr>
        <w:t>2</w:t>
      </w:r>
      <w:r w:rsidR="00201B90">
        <w:fldChar w:fldCharType="end"/>
      </w:r>
      <w:r>
        <w:t xml:space="preserve"> below shows the methods and sample sizes of the NTG values from the SCCG Report.  </w:t>
      </w:r>
    </w:p>
    <w:p w:rsidR="00AE0DBE" w:rsidRDefault="00AE0DBE" w:rsidP="0050194C">
      <w:pPr>
        <w:pStyle w:val="Caption"/>
      </w:pPr>
      <w:bookmarkStart w:id="2" w:name="_Ref305756264"/>
      <w:r>
        <w:t xml:space="preserve">Table </w:t>
      </w:r>
      <w:fldSimple w:instr=" STYLEREF 1 \s ">
        <w:r w:rsidR="00496826">
          <w:rPr>
            <w:noProof/>
          </w:rPr>
          <w:t>7</w:t>
        </w:r>
      </w:fldSimple>
      <w:r>
        <w:noBreakHyphen/>
      </w:r>
      <w:fldSimple w:instr=" SEQ Table \* ARABIC \s 1 ">
        <w:r w:rsidR="00496826">
          <w:rPr>
            <w:noProof/>
          </w:rPr>
          <w:t>2</w:t>
        </w:r>
      </w:fldSimple>
      <w:bookmarkEnd w:id="2"/>
      <w:r>
        <w:t>:  Methods and Sample Sizes for Non-Residential Lighting</w:t>
      </w:r>
    </w:p>
    <w:tbl>
      <w:tblPr>
        <w:tblW w:w="959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A0"/>
      </w:tblPr>
      <w:tblGrid>
        <w:gridCol w:w="1645"/>
        <w:gridCol w:w="2191"/>
        <w:gridCol w:w="2579"/>
        <w:gridCol w:w="1530"/>
        <w:gridCol w:w="1645"/>
      </w:tblGrid>
      <w:tr w:rsidR="00AE0DBE" w:rsidRPr="007D7B78" w:rsidTr="00A235C0">
        <w:tc>
          <w:tcPr>
            <w:tcW w:w="1645" w:type="dxa"/>
            <w:tcBorders>
              <w:top w:val="single" w:sz="12" w:space="0" w:color="auto"/>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Measure</w:t>
            </w:r>
          </w:p>
        </w:tc>
        <w:tc>
          <w:tcPr>
            <w:tcW w:w="2191" w:type="dxa"/>
            <w:tcBorders>
              <w:top w:val="single" w:sz="12" w:space="0" w:color="auto"/>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Market Segment and Program Year</w:t>
            </w:r>
          </w:p>
        </w:tc>
        <w:tc>
          <w:tcPr>
            <w:tcW w:w="2579" w:type="dxa"/>
            <w:tcBorders>
              <w:top w:val="single" w:sz="12" w:space="0" w:color="auto"/>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NTGR Method Used</w:t>
            </w:r>
          </w:p>
        </w:tc>
        <w:tc>
          <w:tcPr>
            <w:tcW w:w="1530" w:type="dxa"/>
            <w:tcBorders>
              <w:top w:val="single" w:sz="12" w:space="0" w:color="auto"/>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Sample Size</w:t>
            </w:r>
          </w:p>
        </w:tc>
        <w:tc>
          <w:tcPr>
            <w:tcW w:w="1645" w:type="dxa"/>
            <w:tcBorders>
              <w:top w:val="single" w:sz="12" w:space="0" w:color="auto"/>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Delivery Mechanism</w:t>
            </w:r>
          </w:p>
        </w:tc>
      </w:tr>
      <w:tr w:rsidR="00AE0DBE" w:rsidRPr="007D7B78" w:rsidTr="00A235C0">
        <w:tc>
          <w:tcPr>
            <w:tcW w:w="1645" w:type="dxa"/>
            <w:vAlign w:val="bottom"/>
          </w:tcPr>
          <w:p w:rsidR="00AE0DBE" w:rsidRPr="00A235C0" w:rsidRDefault="00AE0DBE" w:rsidP="00A235C0">
            <w:pPr>
              <w:spacing w:before="40" w:after="40" w:line="240" w:lineRule="auto"/>
              <w:jc w:val="center"/>
              <w:rPr>
                <w:sz w:val="20"/>
              </w:rPr>
            </w:pPr>
            <w:r w:rsidRPr="00A235C0">
              <w:rPr>
                <w:sz w:val="20"/>
              </w:rPr>
              <w:t>CFLs</w:t>
            </w:r>
          </w:p>
        </w:tc>
        <w:tc>
          <w:tcPr>
            <w:tcW w:w="2191" w:type="dxa"/>
            <w:vAlign w:val="center"/>
          </w:tcPr>
          <w:p w:rsidR="00AE0DBE" w:rsidRPr="00A235C0" w:rsidRDefault="00AE0DBE" w:rsidP="00A235C0">
            <w:pPr>
              <w:spacing w:before="40" w:after="40" w:line="240" w:lineRule="auto"/>
              <w:jc w:val="center"/>
              <w:rPr>
                <w:sz w:val="20"/>
              </w:rPr>
            </w:pPr>
            <w:r w:rsidRPr="00A235C0">
              <w:rPr>
                <w:sz w:val="20"/>
              </w:rPr>
              <w:t>Non-Residential 2006-2008</w:t>
            </w:r>
          </w:p>
        </w:tc>
        <w:tc>
          <w:tcPr>
            <w:tcW w:w="2579" w:type="dxa"/>
            <w:vAlign w:val="center"/>
          </w:tcPr>
          <w:p w:rsidR="00AE0DBE" w:rsidRPr="00A235C0" w:rsidRDefault="00AE0DBE" w:rsidP="00A235C0">
            <w:pPr>
              <w:spacing w:before="40" w:after="40" w:line="240" w:lineRule="auto"/>
              <w:jc w:val="center"/>
              <w:rPr>
                <w:sz w:val="20"/>
              </w:rPr>
            </w:pPr>
            <w:r w:rsidRPr="00A235C0">
              <w:rPr>
                <w:sz w:val="20"/>
              </w:rPr>
              <w:t>Self Report</w:t>
            </w:r>
          </w:p>
        </w:tc>
        <w:tc>
          <w:tcPr>
            <w:tcW w:w="1530" w:type="dxa"/>
            <w:vAlign w:val="center"/>
          </w:tcPr>
          <w:p w:rsidR="00AE0DBE" w:rsidRPr="00A235C0" w:rsidRDefault="00AE0DBE" w:rsidP="00A235C0">
            <w:pPr>
              <w:spacing w:before="40" w:after="40" w:line="240" w:lineRule="auto"/>
              <w:jc w:val="center"/>
              <w:rPr>
                <w:sz w:val="20"/>
              </w:rPr>
            </w:pPr>
            <w:r w:rsidRPr="00A235C0">
              <w:rPr>
                <w:sz w:val="20"/>
              </w:rPr>
              <w:t>115</w:t>
            </w:r>
          </w:p>
        </w:tc>
        <w:tc>
          <w:tcPr>
            <w:tcW w:w="1645" w:type="dxa"/>
            <w:vAlign w:val="center"/>
          </w:tcPr>
          <w:p w:rsidR="00AE0DBE" w:rsidRPr="00A235C0" w:rsidRDefault="00AE0DBE" w:rsidP="00A235C0">
            <w:pPr>
              <w:spacing w:before="40" w:after="40" w:line="240" w:lineRule="auto"/>
              <w:jc w:val="center"/>
              <w:rPr>
                <w:sz w:val="20"/>
              </w:rPr>
            </w:pPr>
            <w:r w:rsidRPr="00A235C0">
              <w:rPr>
                <w:sz w:val="20"/>
              </w:rPr>
              <w:t>Downstream Prescriptive</w:t>
            </w:r>
          </w:p>
        </w:tc>
      </w:tr>
      <w:tr w:rsidR="00AE0DBE" w:rsidRPr="007D7B78" w:rsidTr="00A235C0">
        <w:tc>
          <w:tcPr>
            <w:tcW w:w="1645" w:type="dxa"/>
            <w:vAlign w:val="bottom"/>
          </w:tcPr>
          <w:p w:rsidR="00AE0DBE" w:rsidRPr="00A235C0" w:rsidRDefault="00AE0DBE" w:rsidP="00A235C0">
            <w:pPr>
              <w:spacing w:before="40" w:after="40" w:line="240" w:lineRule="auto"/>
              <w:jc w:val="center"/>
              <w:rPr>
                <w:sz w:val="20"/>
              </w:rPr>
            </w:pPr>
            <w:r w:rsidRPr="00A235C0">
              <w:rPr>
                <w:sz w:val="20"/>
              </w:rPr>
              <w:t>CFLs</w:t>
            </w:r>
          </w:p>
        </w:tc>
        <w:tc>
          <w:tcPr>
            <w:tcW w:w="2191" w:type="dxa"/>
            <w:vAlign w:val="center"/>
          </w:tcPr>
          <w:p w:rsidR="00AE0DBE" w:rsidRPr="00A235C0" w:rsidRDefault="00AE0DBE" w:rsidP="00A235C0">
            <w:pPr>
              <w:spacing w:before="40" w:after="40" w:line="240" w:lineRule="auto"/>
              <w:jc w:val="center"/>
              <w:rPr>
                <w:sz w:val="20"/>
              </w:rPr>
            </w:pPr>
            <w:r w:rsidRPr="00A235C0">
              <w:rPr>
                <w:sz w:val="20"/>
              </w:rPr>
              <w:t>Non-Residential 2006-2008</w:t>
            </w:r>
          </w:p>
        </w:tc>
        <w:tc>
          <w:tcPr>
            <w:tcW w:w="2579" w:type="dxa"/>
            <w:vAlign w:val="center"/>
          </w:tcPr>
          <w:p w:rsidR="00AE0DBE" w:rsidRPr="00A235C0" w:rsidRDefault="00AE0DBE" w:rsidP="00A235C0">
            <w:pPr>
              <w:spacing w:before="40" w:after="40" w:line="240" w:lineRule="auto"/>
              <w:jc w:val="center"/>
              <w:rPr>
                <w:sz w:val="20"/>
              </w:rPr>
            </w:pPr>
            <w:r w:rsidRPr="00A235C0">
              <w:rPr>
                <w:sz w:val="20"/>
              </w:rPr>
              <w:t>Self Report</w:t>
            </w:r>
          </w:p>
        </w:tc>
        <w:tc>
          <w:tcPr>
            <w:tcW w:w="1530" w:type="dxa"/>
            <w:vAlign w:val="center"/>
          </w:tcPr>
          <w:p w:rsidR="00AE0DBE" w:rsidRPr="00A235C0" w:rsidRDefault="00AE0DBE" w:rsidP="00A235C0">
            <w:pPr>
              <w:spacing w:before="40" w:after="40" w:line="240" w:lineRule="auto"/>
              <w:jc w:val="center"/>
              <w:rPr>
                <w:sz w:val="20"/>
              </w:rPr>
            </w:pPr>
            <w:r w:rsidRPr="00A235C0">
              <w:rPr>
                <w:sz w:val="20"/>
              </w:rPr>
              <w:t>444</w:t>
            </w:r>
          </w:p>
        </w:tc>
        <w:tc>
          <w:tcPr>
            <w:tcW w:w="1645" w:type="dxa"/>
            <w:vAlign w:val="center"/>
          </w:tcPr>
          <w:p w:rsidR="00AE0DBE" w:rsidRPr="00A235C0" w:rsidRDefault="00AE0DBE" w:rsidP="00A235C0">
            <w:pPr>
              <w:spacing w:before="40" w:after="40" w:line="240" w:lineRule="auto"/>
              <w:jc w:val="center"/>
              <w:rPr>
                <w:sz w:val="20"/>
              </w:rPr>
            </w:pPr>
            <w:r w:rsidRPr="00A235C0">
              <w:rPr>
                <w:sz w:val="20"/>
              </w:rPr>
              <w:t>Direct Install</w:t>
            </w:r>
          </w:p>
        </w:tc>
      </w:tr>
      <w:tr w:rsidR="00AE0DBE" w:rsidRPr="007D7B78" w:rsidTr="00A235C0">
        <w:tc>
          <w:tcPr>
            <w:tcW w:w="1645" w:type="dxa"/>
            <w:vAlign w:val="bottom"/>
          </w:tcPr>
          <w:p w:rsidR="00AE0DBE" w:rsidRPr="00A235C0" w:rsidRDefault="00AE0DBE" w:rsidP="00A235C0">
            <w:pPr>
              <w:spacing w:before="40" w:after="40" w:line="240" w:lineRule="auto"/>
              <w:jc w:val="center"/>
              <w:rPr>
                <w:sz w:val="20"/>
              </w:rPr>
            </w:pPr>
            <w:r w:rsidRPr="00A235C0">
              <w:rPr>
                <w:sz w:val="20"/>
              </w:rPr>
              <w:t>Linear Fluorescents</w:t>
            </w:r>
          </w:p>
        </w:tc>
        <w:tc>
          <w:tcPr>
            <w:tcW w:w="2191" w:type="dxa"/>
            <w:vAlign w:val="center"/>
          </w:tcPr>
          <w:p w:rsidR="00AE0DBE" w:rsidRPr="00A235C0" w:rsidRDefault="00AE0DBE" w:rsidP="00A235C0">
            <w:pPr>
              <w:spacing w:before="40" w:after="40" w:line="240" w:lineRule="auto"/>
              <w:jc w:val="center"/>
              <w:rPr>
                <w:sz w:val="20"/>
              </w:rPr>
            </w:pPr>
            <w:r w:rsidRPr="00A235C0">
              <w:rPr>
                <w:sz w:val="20"/>
              </w:rPr>
              <w:t>Non-Residential 2006-2008</w:t>
            </w:r>
          </w:p>
        </w:tc>
        <w:tc>
          <w:tcPr>
            <w:tcW w:w="2579" w:type="dxa"/>
            <w:vAlign w:val="center"/>
          </w:tcPr>
          <w:p w:rsidR="00AE0DBE" w:rsidRPr="00A235C0" w:rsidRDefault="00AE0DBE" w:rsidP="00A235C0">
            <w:pPr>
              <w:spacing w:before="40" w:after="40" w:line="240" w:lineRule="auto"/>
              <w:jc w:val="center"/>
              <w:rPr>
                <w:sz w:val="20"/>
              </w:rPr>
            </w:pPr>
            <w:r w:rsidRPr="00A235C0">
              <w:rPr>
                <w:sz w:val="20"/>
              </w:rPr>
              <w:t>Self Report/Discrete Choice</w:t>
            </w:r>
          </w:p>
        </w:tc>
        <w:tc>
          <w:tcPr>
            <w:tcW w:w="1530" w:type="dxa"/>
            <w:vAlign w:val="center"/>
          </w:tcPr>
          <w:p w:rsidR="00AE0DBE" w:rsidRPr="00A235C0" w:rsidRDefault="00AE0DBE" w:rsidP="00A235C0">
            <w:pPr>
              <w:spacing w:before="40" w:after="40" w:line="240" w:lineRule="auto"/>
              <w:jc w:val="center"/>
              <w:rPr>
                <w:sz w:val="20"/>
              </w:rPr>
            </w:pPr>
            <w:r w:rsidRPr="00A235C0">
              <w:rPr>
                <w:sz w:val="20"/>
              </w:rPr>
              <w:t>521</w:t>
            </w:r>
          </w:p>
        </w:tc>
        <w:tc>
          <w:tcPr>
            <w:tcW w:w="1645" w:type="dxa"/>
            <w:vAlign w:val="center"/>
          </w:tcPr>
          <w:p w:rsidR="00AE0DBE" w:rsidRPr="00A235C0" w:rsidRDefault="00AE0DBE" w:rsidP="00A235C0">
            <w:pPr>
              <w:spacing w:before="40" w:after="40" w:line="240" w:lineRule="auto"/>
              <w:jc w:val="center"/>
              <w:rPr>
                <w:sz w:val="20"/>
              </w:rPr>
            </w:pPr>
            <w:r w:rsidRPr="00A235C0">
              <w:rPr>
                <w:sz w:val="20"/>
              </w:rPr>
              <w:t>Downstream Prescriptive</w:t>
            </w:r>
          </w:p>
        </w:tc>
      </w:tr>
      <w:tr w:rsidR="00AE0DBE" w:rsidRPr="007D7B78" w:rsidTr="00A235C0">
        <w:tc>
          <w:tcPr>
            <w:tcW w:w="1645" w:type="dxa"/>
            <w:vAlign w:val="bottom"/>
          </w:tcPr>
          <w:p w:rsidR="00AE0DBE" w:rsidRPr="00A235C0" w:rsidRDefault="00AE0DBE" w:rsidP="00A235C0">
            <w:pPr>
              <w:spacing w:before="40" w:after="40" w:line="240" w:lineRule="auto"/>
              <w:jc w:val="center"/>
              <w:rPr>
                <w:sz w:val="20"/>
              </w:rPr>
            </w:pPr>
            <w:r w:rsidRPr="00A235C0">
              <w:rPr>
                <w:sz w:val="20"/>
              </w:rPr>
              <w:t>Linear Fluorescents</w:t>
            </w:r>
          </w:p>
        </w:tc>
        <w:tc>
          <w:tcPr>
            <w:tcW w:w="2191" w:type="dxa"/>
            <w:vAlign w:val="center"/>
          </w:tcPr>
          <w:p w:rsidR="00AE0DBE" w:rsidRPr="00A235C0" w:rsidRDefault="00AE0DBE" w:rsidP="00A235C0">
            <w:pPr>
              <w:spacing w:before="40" w:after="40" w:line="240" w:lineRule="auto"/>
              <w:jc w:val="center"/>
              <w:rPr>
                <w:sz w:val="20"/>
              </w:rPr>
            </w:pPr>
            <w:r w:rsidRPr="00A235C0">
              <w:rPr>
                <w:sz w:val="20"/>
              </w:rPr>
              <w:t>Non-Residential 2006-2008</w:t>
            </w:r>
          </w:p>
        </w:tc>
        <w:tc>
          <w:tcPr>
            <w:tcW w:w="2579" w:type="dxa"/>
            <w:vAlign w:val="center"/>
          </w:tcPr>
          <w:p w:rsidR="00AE0DBE" w:rsidRPr="00A235C0" w:rsidRDefault="00AE0DBE" w:rsidP="00A235C0">
            <w:pPr>
              <w:spacing w:before="40" w:after="40" w:line="240" w:lineRule="auto"/>
              <w:jc w:val="center"/>
              <w:rPr>
                <w:sz w:val="20"/>
              </w:rPr>
            </w:pPr>
            <w:r w:rsidRPr="00A235C0">
              <w:rPr>
                <w:sz w:val="20"/>
              </w:rPr>
              <w:t>Self Report/Discrete Choice</w:t>
            </w:r>
          </w:p>
        </w:tc>
        <w:tc>
          <w:tcPr>
            <w:tcW w:w="1530" w:type="dxa"/>
            <w:vAlign w:val="center"/>
          </w:tcPr>
          <w:p w:rsidR="00AE0DBE" w:rsidRPr="00A235C0" w:rsidRDefault="00AE0DBE" w:rsidP="00A235C0">
            <w:pPr>
              <w:spacing w:before="40" w:after="40" w:line="240" w:lineRule="auto"/>
              <w:jc w:val="center"/>
              <w:rPr>
                <w:sz w:val="20"/>
              </w:rPr>
            </w:pPr>
            <w:r w:rsidRPr="00A235C0">
              <w:rPr>
                <w:sz w:val="20"/>
              </w:rPr>
              <w:t>1,479</w:t>
            </w:r>
          </w:p>
        </w:tc>
        <w:tc>
          <w:tcPr>
            <w:tcW w:w="1645" w:type="dxa"/>
            <w:vAlign w:val="center"/>
          </w:tcPr>
          <w:p w:rsidR="00AE0DBE" w:rsidRPr="00A235C0" w:rsidRDefault="00AE0DBE" w:rsidP="00A235C0">
            <w:pPr>
              <w:spacing w:before="40" w:after="40" w:line="240" w:lineRule="auto"/>
              <w:jc w:val="center"/>
              <w:rPr>
                <w:sz w:val="20"/>
              </w:rPr>
            </w:pPr>
            <w:r w:rsidRPr="00A235C0">
              <w:rPr>
                <w:sz w:val="20"/>
              </w:rPr>
              <w:t>Direct Install</w:t>
            </w:r>
          </w:p>
        </w:tc>
      </w:tr>
      <w:tr w:rsidR="00AE0DBE" w:rsidRPr="007D7B78" w:rsidTr="00A235C0">
        <w:tc>
          <w:tcPr>
            <w:tcW w:w="1645" w:type="dxa"/>
            <w:vAlign w:val="bottom"/>
          </w:tcPr>
          <w:p w:rsidR="00AE0DBE" w:rsidRPr="00A235C0" w:rsidRDefault="00AE0DBE" w:rsidP="00A235C0">
            <w:pPr>
              <w:spacing w:before="40" w:after="40" w:line="240" w:lineRule="auto"/>
              <w:jc w:val="center"/>
              <w:rPr>
                <w:sz w:val="20"/>
              </w:rPr>
            </w:pPr>
            <w:r w:rsidRPr="00A235C0">
              <w:rPr>
                <w:sz w:val="20"/>
              </w:rPr>
              <w:t>Lighting Controls</w:t>
            </w:r>
          </w:p>
        </w:tc>
        <w:tc>
          <w:tcPr>
            <w:tcW w:w="2191" w:type="dxa"/>
            <w:vAlign w:val="center"/>
          </w:tcPr>
          <w:p w:rsidR="00AE0DBE" w:rsidRPr="00A235C0" w:rsidRDefault="00AE0DBE" w:rsidP="00A235C0">
            <w:pPr>
              <w:spacing w:before="40" w:after="40" w:line="240" w:lineRule="auto"/>
              <w:jc w:val="center"/>
              <w:rPr>
                <w:sz w:val="20"/>
              </w:rPr>
            </w:pPr>
            <w:r w:rsidRPr="00A235C0">
              <w:rPr>
                <w:sz w:val="20"/>
              </w:rPr>
              <w:t>Non-Residential 2006-2008</w:t>
            </w:r>
          </w:p>
        </w:tc>
        <w:tc>
          <w:tcPr>
            <w:tcW w:w="2579" w:type="dxa"/>
            <w:vAlign w:val="center"/>
          </w:tcPr>
          <w:p w:rsidR="00AE0DBE" w:rsidRPr="00A235C0" w:rsidRDefault="00AE0DBE" w:rsidP="00A235C0">
            <w:pPr>
              <w:spacing w:before="40" w:after="40" w:line="240" w:lineRule="auto"/>
              <w:jc w:val="center"/>
              <w:rPr>
                <w:sz w:val="20"/>
              </w:rPr>
            </w:pPr>
            <w:r w:rsidRPr="00A235C0">
              <w:rPr>
                <w:sz w:val="20"/>
              </w:rPr>
              <w:t>Self Report</w:t>
            </w:r>
          </w:p>
        </w:tc>
        <w:tc>
          <w:tcPr>
            <w:tcW w:w="1530" w:type="dxa"/>
            <w:vAlign w:val="center"/>
          </w:tcPr>
          <w:p w:rsidR="00AE0DBE" w:rsidRPr="00A235C0" w:rsidRDefault="00AE0DBE" w:rsidP="00A235C0">
            <w:pPr>
              <w:spacing w:before="40" w:after="40" w:line="240" w:lineRule="auto"/>
              <w:jc w:val="center"/>
              <w:rPr>
                <w:sz w:val="20"/>
              </w:rPr>
            </w:pPr>
            <w:r w:rsidRPr="00A235C0">
              <w:rPr>
                <w:sz w:val="20"/>
              </w:rPr>
              <w:t>80</w:t>
            </w:r>
          </w:p>
        </w:tc>
        <w:tc>
          <w:tcPr>
            <w:tcW w:w="1645" w:type="dxa"/>
            <w:vAlign w:val="center"/>
          </w:tcPr>
          <w:p w:rsidR="00AE0DBE" w:rsidRPr="00A235C0" w:rsidRDefault="00AE0DBE" w:rsidP="00A235C0">
            <w:pPr>
              <w:spacing w:before="40" w:after="40" w:line="240" w:lineRule="auto"/>
              <w:jc w:val="center"/>
              <w:rPr>
                <w:sz w:val="20"/>
              </w:rPr>
            </w:pPr>
            <w:r w:rsidRPr="00A235C0">
              <w:rPr>
                <w:sz w:val="20"/>
              </w:rPr>
              <w:t>Downstream Prescriptive</w:t>
            </w:r>
          </w:p>
        </w:tc>
      </w:tr>
      <w:tr w:rsidR="00AE0DBE" w:rsidRPr="007D7B78" w:rsidTr="00A235C0">
        <w:tc>
          <w:tcPr>
            <w:tcW w:w="1645" w:type="dxa"/>
            <w:tcBorders>
              <w:bottom w:val="single" w:sz="12" w:space="0" w:color="auto"/>
            </w:tcBorders>
            <w:vAlign w:val="bottom"/>
          </w:tcPr>
          <w:p w:rsidR="00AE0DBE" w:rsidRPr="00A235C0" w:rsidRDefault="00AE0DBE" w:rsidP="00A235C0">
            <w:pPr>
              <w:spacing w:before="40" w:after="40" w:line="240" w:lineRule="auto"/>
              <w:jc w:val="center"/>
              <w:rPr>
                <w:sz w:val="20"/>
              </w:rPr>
            </w:pPr>
            <w:r w:rsidRPr="00A235C0">
              <w:rPr>
                <w:sz w:val="20"/>
              </w:rPr>
              <w:t>Lighting Controls</w:t>
            </w:r>
          </w:p>
        </w:tc>
        <w:tc>
          <w:tcPr>
            <w:tcW w:w="2191" w:type="dxa"/>
            <w:tcBorders>
              <w:bottom w:val="single" w:sz="12" w:space="0" w:color="auto"/>
            </w:tcBorders>
            <w:vAlign w:val="center"/>
          </w:tcPr>
          <w:p w:rsidR="00AE0DBE" w:rsidRPr="00A235C0" w:rsidRDefault="00AE0DBE" w:rsidP="00A235C0">
            <w:pPr>
              <w:spacing w:before="40" w:after="40" w:line="240" w:lineRule="auto"/>
              <w:jc w:val="center"/>
              <w:rPr>
                <w:sz w:val="20"/>
              </w:rPr>
            </w:pPr>
            <w:r w:rsidRPr="00A235C0">
              <w:rPr>
                <w:sz w:val="20"/>
              </w:rPr>
              <w:t>Non-Residential 2006-2008</w:t>
            </w:r>
          </w:p>
        </w:tc>
        <w:tc>
          <w:tcPr>
            <w:tcW w:w="2579" w:type="dxa"/>
            <w:tcBorders>
              <w:bottom w:val="single" w:sz="12" w:space="0" w:color="auto"/>
            </w:tcBorders>
            <w:vAlign w:val="center"/>
          </w:tcPr>
          <w:p w:rsidR="00AE0DBE" w:rsidRPr="00A235C0" w:rsidRDefault="00AE0DBE" w:rsidP="00A235C0">
            <w:pPr>
              <w:spacing w:before="40" w:after="40" w:line="240" w:lineRule="auto"/>
              <w:jc w:val="center"/>
              <w:rPr>
                <w:sz w:val="20"/>
              </w:rPr>
            </w:pPr>
            <w:r w:rsidRPr="00A235C0">
              <w:rPr>
                <w:sz w:val="20"/>
              </w:rPr>
              <w:t>Self Report</w:t>
            </w:r>
          </w:p>
        </w:tc>
        <w:tc>
          <w:tcPr>
            <w:tcW w:w="1530" w:type="dxa"/>
            <w:tcBorders>
              <w:bottom w:val="single" w:sz="12" w:space="0" w:color="auto"/>
            </w:tcBorders>
            <w:vAlign w:val="center"/>
          </w:tcPr>
          <w:p w:rsidR="00AE0DBE" w:rsidRPr="00A235C0" w:rsidRDefault="00AE0DBE" w:rsidP="00A235C0">
            <w:pPr>
              <w:spacing w:before="40" w:after="40" w:line="240" w:lineRule="auto"/>
              <w:jc w:val="center"/>
              <w:rPr>
                <w:sz w:val="20"/>
              </w:rPr>
            </w:pPr>
            <w:r w:rsidRPr="00A235C0">
              <w:rPr>
                <w:sz w:val="20"/>
              </w:rPr>
              <w:t>41</w:t>
            </w:r>
          </w:p>
        </w:tc>
        <w:tc>
          <w:tcPr>
            <w:tcW w:w="1645" w:type="dxa"/>
            <w:tcBorders>
              <w:bottom w:val="single" w:sz="12" w:space="0" w:color="auto"/>
            </w:tcBorders>
            <w:vAlign w:val="center"/>
          </w:tcPr>
          <w:p w:rsidR="00AE0DBE" w:rsidRPr="00A235C0" w:rsidRDefault="00AE0DBE" w:rsidP="00A235C0">
            <w:pPr>
              <w:spacing w:before="40" w:after="40" w:line="240" w:lineRule="auto"/>
              <w:jc w:val="center"/>
              <w:rPr>
                <w:sz w:val="20"/>
              </w:rPr>
            </w:pPr>
            <w:r w:rsidRPr="00A235C0">
              <w:rPr>
                <w:sz w:val="20"/>
              </w:rPr>
              <w:t>Direct Install</w:t>
            </w:r>
          </w:p>
        </w:tc>
      </w:tr>
    </w:tbl>
    <w:p w:rsidR="00AE0DBE" w:rsidRDefault="00AE0DBE" w:rsidP="007D7B78">
      <w:pPr>
        <w:pStyle w:val="Halfline"/>
      </w:pPr>
    </w:p>
    <w:p w:rsidR="00AE0DBE" w:rsidRPr="00BF4CDF" w:rsidRDefault="00AE0DBE" w:rsidP="00BF4CDF">
      <w:pPr>
        <w:pStyle w:val="Heading2"/>
        <w:numPr>
          <w:ilvl w:val="1"/>
          <w:numId w:val="9"/>
        </w:numPr>
      </w:pPr>
      <w:r w:rsidRPr="00BF4CDF">
        <w:t>Recommended NTGR by Measure and Applicable Market Segments or Building Types</w:t>
      </w:r>
    </w:p>
    <w:p w:rsidR="00AE0DBE" w:rsidRPr="00197A2E" w:rsidRDefault="00201B90" w:rsidP="00197A2E">
      <w:r>
        <w:fldChar w:fldCharType="begin"/>
      </w:r>
      <w:r w:rsidR="00AE0DBE">
        <w:instrText xml:space="preserve"> REF _Ref305704678 \h </w:instrText>
      </w:r>
      <w:r>
        <w:fldChar w:fldCharType="separate"/>
      </w:r>
      <w:r w:rsidR="00496826">
        <w:t xml:space="preserve">Table </w:t>
      </w:r>
      <w:r w:rsidR="00496826">
        <w:rPr>
          <w:noProof/>
        </w:rPr>
        <w:t>7</w:t>
      </w:r>
      <w:r w:rsidR="00496826">
        <w:noBreakHyphen/>
      </w:r>
      <w:r w:rsidR="00496826">
        <w:rPr>
          <w:noProof/>
        </w:rPr>
        <w:t>3</w:t>
      </w:r>
      <w:r>
        <w:fldChar w:fldCharType="end"/>
      </w:r>
      <w:r w:rsidR="00AE0DBE">
        <w:t xml:space="preserve"> shows the recommended NTGRs to be used to update the DEER database in 2011.  It is recommended that the NTGRs are updated by measure and delivery mechanism for use statewide.  </w:t>
      </w:r>
    </w:p>
    <w:p w:rsidR="00AE0DBE" w:rsidRDefault="00AE0DBE" w:rsidP="006B52C8">
      <w:pPr>
        <w:pStyle w:val="Caption"/>
      </w:pPr>
      <w:bookmarkStart w:id="3" w:name="_Ref305704678"/>
      <w:bookmarkStart w:id="4" w:name="_Ref305592463"/>
      <w:r>
        <w:lastRenderedPageBreak/>
        <w:t xml:space="preserve">Table </w:t>
      </w:r>
      <w:fldSimple w:instr=" STYLEREF 1 \s ">
        <w:r w:rsidR="00496826">
          <w:rPr>
            <w:noProof/>
          </w:rPr>
          <w:t>7</w:t>
        </w:r>
      </w:fldSimple>
      <w:r>
        <w:noBreakHyphen/>
      </w:r>
      <w:fldSimple w:instr=" SEQ Table \* ARABIC \s 1 ">
        <w:r w:rsidR="00496826">
          <w:rPr>
            <w:noProof/>
          </w:rPr>
          <w:t>3</w:t>
        </w:r>
      </w:fldSimple>
      <w:bookmarkEnd w:id="3"/>
      <w:r>
        <w:t>:  Recommended NTGR by Measure and Delivery Method</w:t>
      </w:r>
    </w:p>
    <w:tbl>
      <w:tblPr>
        <w:tblW w:w="959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9" w:type="dxa"/>
          <w:right w:w="29" w:type="dxa"/>
        </w:tblCellMar>
        <w:tblLook w:val="00A0"/>
      </w:tblPr>
      <w:tblGrid>
        <w:gridCol w:w="1199"/>
        <w:gridCol w:w="1397"/>
        <w:gridCol w:w="1297"/>
        <w:gridCol w:w="1381"/>
        <w:gridCol w:w="1226"/>
        <w:gridCol w:w="1545"/>
        <w:gridCol w:w="1545"/>
      </w:tblGrid>
      <w:tr w:rsidR="00AE0DBE" w:rsidRPr="007D7B78" w:rsidTr="00A235C0">
        <w:trPr>
          <w:trHeight w:val="1275"/>
        </w:trPr>
        <w:tc>
          <w:tcPr>
            <w:tcW w:w="1199" w:type="dxa"/>
            <w:tcBorders>
              <w:top w:val="single" w:sz="12" w:space="0" w:color="auto"/>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EEM</w:t>
            </w:r>
          </w:p>
        </w:tc>
        <w:tc>
          <w:tcPr>
            <w:tcW w:w="1397" w:type="dxa"/>
            <w:tcBorders>
              <w:top w:val="single" w:sz="12" w:space="0" w:color="auto"/>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EEM  Characteristics</w:t>
            </w:r>
          </w:p>
        </w:tc>
        <w:tc>
          <w:tcPr>
            <w:tcW w:w="1297" w:type="dxa"/>
            <w:tcBorders>
              <w:top w:val="single" w:sz="12" w:space="0" w:color="auto"/>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Delivery  Mechanism</w:t>
            </w:r>
          </w:p>
        </w:tc>
        <w:tc>
          <w:tcPr>
            <w:tcW w:w="1381" w:type="dxa"/>
            <w:tcBorders>
              <w:top w:val="single" w:sz="12" w:space="0" w:color="auto"/>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Applicable Sector and Building Types</w:t>
            </w:r>
          </w:p>
        </w:tc>
        <w:tc>
          <w:tcPr>
            <w:tcW w:w="1226" w:type="dxa"/>
            <w:tcBorders>
              <w:top w:val="single" w:sz="12" w:space="0" w:color="auto"/>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Utility Specific or Statewide NTGR</w:t>
            </w:r>
          </w:p>
        </w:tc>
        <w:tc>
          <w:tcPr>
            <w:tcW w:w="1545" w:type="dxa"/>
            <w:tcBorders>
              <w:top w:val="single" w:sz="12" w:space="0" w:color="auto"/>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Recommended NTGR (kWh)</w:t>
            </w:r>
          </w:p>
        </w:tc>
        <w:tc>
          <w:tcPr>
            <w:tcW w:w="1545" w:type="dxa"/>
            <w:tcBorders>
              <w:top w:val="single" w:sz="12" w:space="0" w:color="auto"/>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Recommended NTGR (kW)</w:t>
            </w:r>
          </w:p>
        </w:tc>
      </w:tr>
      <w:tr w:rsidR="00AE0DBE" w:rsidRPr="007D7B78" w:rsidTr="00A235C0">
        <w:tc>
          <w:tcPr>
            <w:tcW w:w="1199" w:type="dxa"/>
            <w:vAlign w:val="center"/>
          </w:tcPr>
          <w:p w:rsidR="00AE0DBE" w:rsidRPr="00A235C0" w:rsidRDefault="00AE0DBE" w:rsidP="00A235C0">
            <w:pPr>
              <w:keepNext/>
              <w:keepLines/>
              <w:spacing w:before="40" w:after="40" w:line="240" w:lineRule="auto"/>
              <w:jc w:val="center"/>
              <w:rPr>
                <w:sz w:val="20"/>
              </w:rPr>
            </w:pPr>
            <w:r w:rsidRPr="00A235C0">
              <w:rPr>
                <w:sz w:val="20"/>
              </w:rPr>
              <w:t>CFLs</w:t>
            </w:r>
          </w:p>
        </w:tc>
        <w:tc>
          <w:tcPr>
            <w:tcW w:w="1397" w:type="dxa"/>
            <w:vAlign w:val="center"/>
          </w:tcPr>
          <w:p w:rsidR="00AE0DBE" w:rsidRPr="00A235C0" w:rsidRDefault="00AE0DBE" w:rsidP="00A235C0">
            <w:pPr>
              <w:keepNext/>
              <w:keepLines/>
              <w:spacing w:before="40" w:after="40" w:line="240" w:lineRule="auto"/>
              <w:jc w:val="center"/>
              <w:rPr>
                <w:sz w:val="20"/>
              </w:rPr>
            </w:pPr>
            <w:r w:rsidRPr="00A235C0">
              <w:rPr>
                <w:sz w:val="20"/>
              </w:rPr>
              <w:t>All</w:t>
            </w:r>
          </w:p>
        </w:tc>
        <w:tc>
          <w:tcPr>
            <w:tcW w:w="1297" w:type="dxa"/>
            <w:vAlign w:val="center"/>
          </w:tcPr>
          <w:p w:rsidR="00AE0DBE" w:rsidRPr="00A235C0" w:rsidRDefault="00AE0DBE" w:rsidP="00A235C0">
            <w:pPr>
              <w:keepNext/>
              <w:keepLines/>
              <w:spacing w:before="40" w:after="40" w:line="240" w:lineRule="auto"/>
              <w:jc w:val="center"/>
              <w:rPr>
                <w:sz w:val="20"/>
              </w:rPr>
            </w:pPr>
            <w:r w:rsidRPr="00A235C0">
              <w:rPr>
                <w:sz w:val="20"/>
              </w:rPr>
              <w:t>Downstream Prescriptive</w:t>
            </w:r>
          </w:p>
        </w:tc>
        <w:tc>
          <w:tcPr>
            <w:tcW w:w="1381" w:type="dxa"/>
            <w:vAlign w:val="center"/>
          </w:tcPr>
          <w:p w:rsidR="00AE0DBE" w:rsidRPr="00A235C0" w:rsidRDefault="00AE0DBE" w:rsidP="00A235C0">
            <w:pPr>
              <w:keepNext/>
              <w:keepLines/>
              <w:spacing w:before="40" w:after="40" w:line="240" w:lineRule="auto"/>
              <w:jc w:val="center"/>
              <w:rPr>
                <w:sz w:val="20"/>
              </w:rPr>
            </w:pPr>
            <w:r w:rsidRPr="00A235C0">
              <w:rPr>
                <w:sz w:val="20"/>
              </w:rPr>
              <w:t>Non- Residential</w:t>
            </w:r>
          </w:p>
        </w:tc>
        <w:tc>
          <w:tcPr>
            <w:tcW w:w="1226" w:type="dxa"/>
            <w:vAlign w:val="center"/>
          </w:tcPr>
          <w:p w:rsidR="00AE0DBE" w:rsidRPr="00A235C0" w:rsidRDefault="00AE0DBE" w:rsidP="00A235C0">
            <w:pPr>
              <w:keepNext/>
              <w:keepLines/>
              <w:spacing w:before="40" w:after="40" w:line="240" w:lineRule="auto"/>
              <w:jc w:val="center"/>
              <w:rPr>
                <w:sz w:val="20"/>
              </w:rPr>
            </w:pPr>
            <w:r w:rsidRPr="00A235C0">
              <w:rPr>
                <w:sz w:val="20"/>
              </w:rPr>
              <w:t>Statewide</w:t>
            </w:r>
          </w:p>
        </w:tc>
        <w:tc>
          <w:tcPr>
            <w:tcW w:w="1545" w:type="dxa"/>
            <w:vAlign w:val="center"/>
          </w:tcPr>
          <w:p w:rsidR="00AE0DBE" w:rsidRPr="00A235C0" w:rsidRDefault="00AE0DBE" w:rsidP="00A235C0">
            <w:pPr>
              <w:keepNext/>
              <w:keepLines/>
              <w:spacing w:before="40" w:after="40" w:line="240" w:lineRule="auto"/>
              <w:jc w:val="center"/>
              <w:rPr>
                <w:sz w:val="20"/>
              </w:rPr>
            </w:pPr>
            <w:r w:rsidRPr="00A235C0">
              <w:rPr>
                <w:sz w:val="20"/>
              </w:rPr>
              <w:t>0.53</w:t>
            </w:r>
          </w:p>
        </w:tc>
        <w:tc>
          <w:tcPr>
            <w:tcW w:w="1545" w:type="dxa"/>
            <w:vAlign w:val="center"/>
          </w:tcPr>
          <w:p w:rsidR="00AE0DBE" w:rsidRPr="00A235C0" w:rsidRDefault="00AE0DBE" w:rsidP="00A235C0">
            <w:pPr>
              <w:keepNext/>
              <w:keepLines/>
              <w:spacing w:before="40" w:after="40" w:line="240" w:lineRule="auto"/>
              <w:jc w:val="center"/>
              <w:rPr>
                <w:sz w:val="20"/>
              </w:rPr>
            </w:pPr>
            <w:r w:rsidRPr="00A235C0">
              <w:rPr>
                <w:sz w:val="20"/>
              </w:rPr>
              <w:t>0.57</w:t>
            </w:r>
          </w:p>
        </w:tc>
      </w:tr>
      <w:tr w:rsidR="00AE0DBE" w:rsidRPr="007D7B78" w:rsidTr="00A235C0">
        <w:tc>
          <w:tcPr>
            <w:tcW w:w="1199" w:type="dxa"/>
            <w:vAlign w:val="center"/>
          </w:tcPr>
          <w:p w:rsidR="00AE0DBE" w:rsidRPr="00A235C0" w:rsidRDefault="00AE0DBE" w:rsidP="00A235C0">
            <w:pPr>
              <w:keepNext/>
              <w:keepLines/>
              <w:spacing w:before="40" w:after="40" w:line="240" w:lineRule="auto"/>
              <w:jc w:val="center"/>
              <w:rPr>
                <w:sz w:val="20"/>
              </w:rPr>
            </w:pPr>
            <w:r w:rsidRPr="00A235C0">
              <w:rPr>
                <w:sz w:val="20"/>
              </w:rPr>
              <w:t>CFLs</w:t>
            </w:r>
          </w:p>
        </w:tc>
        <w:tc>
          <w:tcPr>
            <w:tcW w:w="1397" w:type="dxa"/>
            <w:vAlign w:val="center"/>
          </w:tcPr>
          <w:p w:rsidR="00AE0DBE" w:rsidRPr="00A235C0" w:rsidRDefault="00AE0DBE" w:rsidP="00A235C0">
            <w:pPr>
              <w:keepNext/>
              <w:keepLines/>
              <w:spacing w:before="40" w:after="40" w:line="240" w:lineRule="auto"/>
              <w:jc w:val="center"/>
              <w:rPr>
                <w:sz w:val="20"/>
              </w:rPr>
            </w:pPr>
            <w:r w:rsidRPr="00A235C0">
              <w:rPr>
                <w:sz w:val="20"/>
              </w:rPr>
              <w:t>All</w:t>
            </w:r>
          </w:p>
        </w:tc>
        <w:tc>
          <w:tcPr>
            <w:tcW w:w="1297" w:type="dxa"/>
            <w:vAlign w:val="center"/>
          </w:tcPr>
          <w:p w:rsidR="00AE0DBE" w:rsidRPr="00A235C0" w:rsidRDefault="00AE0DBE" w:rsidP="00A235C0">
            <w:pPr>
              <w:keepNext/>
              <w:keepLines/>
              <w:spacing w:before="40" w:after="40" w:line="240" w:lineRule="auto"/>
              <w:jc w:val="center"/>
              <w:rPr>
                <w:sz w:val="20"/>
              </w:rPr>
            </w:pPr>
            <w:r w:rsidRPr="00A235C0">
              <w:rPr>
                <w:sz w:val="20"/>
              </w:rPr>
              <w:t>Direct Install</w:t>
            </w:r>
          </w:p>
        </w:tc>
        <w:tc>
          <w:tcPr>
            <w:tcW w:w="1381" w:type="dxa"/>
            <w:vAlign w:val="center"/>
          </w:tcPr>
          <w:p w:rsidR="00AE0DBE" w:rsidRPr="00A235C0" w:rsidRDefault="00AE0DBE" w:rsidP="00A235C0">
            <w:pPr>
              <w:keepNext/>
              <w:keepLines/>
              <w:spacing w:before="40" w:after="40" w:line="240" w:lineRule="auto"/>
              <w:jc w:val="center"/>
              <w:rPr>
                <w:sz w:val="20"/>
              </w:rPr>
            </w:pPr>
            <w:r w:rsidRPr="00A235C0">
              <w:rPr>
                <w:sz w:val="20"/>
              </w:rPr>
              <w:t>Non- Residential</w:t>
            </w:r>
          </w:p>
        </w:tc>
        <w:tc>
          <w:tcPr>
            <w:tcW w:w="1226" w:type="dxa"/>
            <w:vAlign w:val="center"/>
          </w:tcPr>
          <w:p w:rsidR="00AE0DBE" w:rsidRPr="00A235C0" w:rsidRDefault="00AE0DBE" w:rsidP="00A235C0">
            <w:pPr>
              <w:keepNext/>
              <w:keepLines/>
              <w:spacing w:before="40" w:after="40" w:line="240" w:lineRule="auto"/>
              <w:jc w:val="center"/>
              <w:rPr>
                <w:sz w:val="20"/>
              </w:rPr>
            </w:pPr>
            <w:r w:rsidRPr="00A235C0">
              <w:rPr>
                <w:sz w:val="20"/>
              </w:rPr>
              <w:t>Statewide</w:t>
            </w:r>
          </w:p>
        </w:tc>
        <w:tc>
          <w:tcPr>
            <w:tcW w:w="1545" w:type="dxa"/>
            <w:vAlign w:val="center"/>
          </w:tcPr>
          <w:p w:rsidR="00AE0DBE" w:rsidRPr="00A235C0" w:rsidRDefault="00AE0DBE" w:rsidP="00A235C0">
            <w:pPr>
              <w:keepNext/>
              <w:keepLines/>
              <w:spacing w:before="40" w:after="40" w:line="240" w:lineRule="auto"/>
              <w:jc w:val="center"/>
              <w:rPr>
                <w:sz w:val="20"/>
              </w:rPr>
            </w:pPr>
            <w:r w:rsidRPr="00A235C0">
              <w:rPr>
                <w:sz w:val="20"/>
              </w:rPr>
              <w:t>0.80</w:t>
            </w:r>
          </w:p>
        </w:tc>
        <w:tc>
          <w:tcPr>
            <w:tcW w:w="1545" w:type="dxa"/>
            <w:vAlign w:val="center"/>
          </w:tcPr>
          <w:p w:rsidR="00AE0DBE" w:rsidRPr="00A235C0" w:rsidRDefault="00AE0DBE" w:rsidP="00A235C0">
            <w:pPr>
              <w:keepNext/>
              <w:keepLines/>
              <w:spacing w:before="40" w:after="40" w:line="240" w:lineRule="auto"/>
              <w:jc w:val="center"/>
              <w:rPr>
                <w:sz w:val="20"/>
              </w:rPr>
            </w:pPr>
            <w:r w:rsidRPr="00A235C0">
              <w:rPr>
                <w:sz w:val="20"/>
              </w:rPr>
              <w:t>0.80</w:t>
            </w:r>
          </w:p>
        </w:tc>
      </w:tr>
      <w:tr w:rsidR="00AE0DBE" w:rsidRPr="007D7B78" w:rsidTr="00A235C0">
        <w:tc>
          <w:tcPr>
            <w:tcW w:w="1199" w:type="dxa"/>
            <w:vAlign w:val="center"/>
          </w:tcPr>
          <w:p w:rsidR="00AE0DBE" w:rsidRPr="00A235C0" w:rsidRDefault="00AE0DBE" w:rsidP="00A235C0">
            <w:pPr>
              <w:keepNext/>
              <w:keepLines/>
              <w:spacing w:before="40" w:after="40" w:line="240" w:lineRule="auto"/>
              <w:jc w:val="center"/>
              <w:rPr>
                <w:sz w:val="20"/>
              </w:rPr>
            </w:pPr>
            <w:r w:rsidRPr="00A235C0">
              <w:rPr>
                <w:sz w:val="20"/>
              </w:rPr>
              <w:t>Linear Fluorescents</w:t>
            </w:r>
          </w:p>
        </w:tc>
        <w:tc>
          <w:tcPr>
            <w:tcW w:w="1397" w:type="dxa"/>
            <w:vAlign w:val="center"/>
          </w:tcPr>
          <w:p w:rsidR="00AE0DBE" w:rsidRPr="00A235C0" w:rsidRDefault="00AE0DBE" w:rsidP="00A235C0">
            <w:pPr>
              <w:keepNext/>
              <w:keepLines/>
              <w:spacing w:before="40" w:after="40" w:line="240" w:lineRule="auto"/>
              <w:jc w:val="center"/>
              <w:rPr>
                <w:sz w:val="20"/>
              </w:rPr>
            </w:pPr>
            <w:r w:rsidRPr="00A235C0">
              <w:rPr>
                <w:sz w:val="20"/>
              </w:rPr>
              <w:t>All</w:t>
            </w:r>
          </w:p>
        </w:tc>
        <w:tc>
          <w:tcPr>
            <w:tcW w:w="1297" w:type="dxa"/>
            <w:vAlign w:val="center"/>
          </w:tcPr>
          <w:p w:rsidR="00AE0DBE" w:rsidRPr="00A235C0" w:rsidRDefault="00AE0DBE" w:rsidP="00A235C0">
            <w:pPr>
              <w:keepNext/>
              <w:keepLines/>
              <w:spacing w:before="40" w:after="40" w:line="240" w:lineRule="auto"/>
              <w:jc w:val="center"/>
              <w:rPr>
                <w:sz w:val="20"/>
              </w:rPr>
            </w:pPr>
            <w:r w:rsidRPr="00A235C0">
              <w:rPr>
                <w:sz w:val="20"/>
              </w:rPr>
              <w:t>Downstream Prescriptive</w:t>
            </w:r>
          </w:p>
        </w:tc>
        <w:tc>
          <w:tcPr>
            <w:tcW w:w="1381" w:type="dxa"/>
            <w:vAlign w:val="center"/>
          </w:tcPr>
          <w:p w:rsidR="00AE0DBE" w:rsidRPr="00A235C0" w:rsidRDefault="00AE0DBE" w:rsidP="00A235C0">
            <w:pPr>
              <w:keepNext/>
              <w:keepLines/>
              <w:spacing w:before="40" w:after="40" w:line="240" w:lineRule="auto"/>
              <w:jc w:val="center"/>
              <w:rPr>
                <w:sz w:val="20"/>
              </w:rPr>
            </w:pPr>
            <w:r w:rsidRPr="00A235C0">
              <w:rPr>
                <w:sz w:val="20"/>
              </w:rPr>
              <w:t>Non- Residential</w:t>
            </w:r>
          </w:p>
        </w:tc>
        <w:tc>
          <w:tcPr>
            <w:tcW w:w="1226" w:type="dxa"/>
            <w:vAlign w:val="center"/>
          </w:tcPr>
          <w:p w:rsidR="00AE0DBE" w:rsidRPr="00A235C0" w:rsidRDefault="00AE0DBE" w:rsidP="00A235C0">
            <w:pPr>
              <w:keepNext/>
              <w:keepLines/>
              <w:spacing w:before="40" w:after="40" w:line="240" w:lineRule="auto"/>
              <w:jc w:val="center"/>
              <w:rPr>
                <w:sz w:val="20"/>
              </w:rPr>
            </w:pPr>
            <w:r w:rsidRPr="00A235C0">
              <w:rPr>
                <w:sz w:val="20"/>
              </w:rPr>
              <w:t>Statewide</w:t>
            </w:r>
          </w:p>
        </w:tc>
        <w:tc>
          <w:tcPr>
            <w:tcW w:w="1545" w:type="dxa"/>
            <w:vAlign w:val="center"/>
          </w:tcPr>
          <w:p w:rsidR="00AE0DBE" w:rsidRPr="00A235C0" w:rsidRDefault="00AE0DBE" w:rsidP="00A235C0">
            <w:pPr>
              <w:keepNext/>
              <w:keepLines/>
              <w:spacing w:before="40" w:after="40" w:line="240" w:lineRule="auto"/>
              <w:jc w:val="center"/>
              <w:rPr>
                <w:sz w:val="20"/>
              </w:rPr>
            </w:pPr>
            <w:r w:rsidRPr="00A235C0">
              <w:rPr>
                <w:sz w:val="20"/>
              </w:rPr>
              <w:t>0.70</w:t>
            </w:r>
          </w:p>
        </w:tc>
        <w:tc>
          <w:tcPr>
            <w:tcW w:w="1545" w:type="dxa"/>
            <w:vAlign w:val="center"/>
          </w:tcPr>
          <w:p w:rsidR="00AE0DBE" w:rsidRPr="00A235C0" w:rsidRDefault="00AE0DBE" w:rsidP="00A235C0">
            <w:pPr>
              <w:keepNext/>
              <w:keepLines/>
              <w:spacing w:before="40" w:after="40" w:line="240" w:lineRule="auto"/>
              <w:jc w:val="center"/>
              <w:rPr>
                <w:sz w:val="20"/>
              </w:rPr>
            </w:pPr>
            <w:r w:rsidRPr="00A235C0">
              <w:rPr>
                <w:sz w:val="20"/>
              </w:rPr>
              <w:t>0.70</w:t>
            </w:r>
          </w:p>
        </w:tc>
      </w:tr>
      <w:tr w:rsidR="00AE0DBE" w:rsidRPr="007D7B78" w:rsidTr="00A235C0">
        <w:tc>
          <w:tcPr>
            <w:tcW w:w="1199" w:type="dxa"/>
            <w:vAlign w:val="center"/>
          </w:tcPr>
          <w:p w:rsidR="00AE0DBE" w:rsidRPr="00A235C0" w:rsidRDefault="00AE0DBE" w:rsidP="00A235C0">
            <w:pPr>
              <w:keepNext/>
              <w:keepLines/>
              <w:spacing w:before="40" w:after="40" w:line="240" w:lineRule="auto"/>
              <w:jc w:val="center"/>
              <w:rPr>
                <w:sz w:val="20"/>
              </w:rPr>
            </w:pPr>
            <w:r w:rsidRPr="00A235C0">
              <w:rPr>
                <w:sz w:val="20"/>
              </w:rPr>
              <w:t>Linear Fluorescents</w:t>
            </w:r>
          </w:p>
        </w:tc>
        <w:tc>
          <w:tcPr>
            <w:tcW w:w="1397" w:type="dxa"/>
            <w:vAlign w:val="center"/>
          </w:tcPr>
          <w:p w:rsidR="00AE0DBE" w:rsidRPr="00A235C0" w:rsidRDefault="00AE0DBE" w:rsidP="00A235C0">
            <w:pPr>
              <w:keepNext/>
              <w:keepLines/>
              <w:spacing w:before="40" w:after="40" w:line="240" w:lineRule="auto"/>
              <w:jc w:val="center"/>
              <w:rPr>
                <w:sz w:val="20"/>
              </w:rPr>
            </w:pPr>
            <w:r w:rsidRPr="00A235C0">
              <w:rPr>
                <w:sz w:val="20"/>
              </w:rPr>
              <w:t>All</w:t>
            </w:r>
          </w:p>
        </w:tc>
        <w:tc>
          <w:tcPr>
            <w:tcW w:w="1297" w:type="dxa"/>
            <w:vAlign w:val="center"/>
          </w:tcPr>
          <w:p w:rsidR="00AE0DBE" w:rsidRPr="00A235C0" w:rsidRDefault="00AE0DBE" w:rsidP="00A235C0">
            <w:pPr>
              <w:keepNext/>
              <w:keepLines/>
              <w:spacing w:before="40" w:after="40" w:line="240" w:lineRule="auto"/>
              <w:jc w:val="center"/>
              <w:rPr>
                <w:sz w:val="20"/>
              </w:rPr>
            </w:pPr>
            <w:r w:rsidRPr="00A235C0">
              <w:rPr>
                <w:sz w:val="20"/>
              </w:rPr>
              <w:t>Direct Install</w:t>
            </w:r>
          </w:p>
        </w:tc>
        <w:tc>
          <w:tcPr>
            <w:tcW w:w="1381" w:type="dxa"/>
            <w:vAlign w:val="center"/>
          </w:tcPr>
          <w:p w:rsidR="00AE0DBE" w:rsidRPr="00A235C0" w:rsidRDefault="00AE0DBE" w:rsidP="00A235C0">
            <w:pPr>
              <w:keepNext/>
              <w:keepLines/>
              <w:spacing w:before="40" w:after="40" w:line="240" w:lineRule="auto"/>
              <w:jc w:val="center"/>
              <w:rPr>
                <w:sz w:val="20"/>
              </w:rPr>
            </w:pPr>
            <w:r w:rsidRPr="00A235C0">
              <w:rPr>
                <w:sz w:val="20"/>
              </w:rPr>
              <w:t>Non- Residential</w:t>
            </w:r>
          </w:p>
        </w:tc>
        <w:tc>
          <w:tcPr>
            <w:tcW w:w="1226" w:type="dxa"/>
            <w:vAlign w:val="center"/>
          </w:tcPr>
          <w:p w:rsidR="00AE0DBE" w:rsidRPr="00A235C0" w:rsidRDefault="00AE0DBE" w:rsidP="00A235C0">
            <w:pPr>
              <w:keepNext/>
              <w:keepLines/>
              <w:spacing w:before="40" w:after="40" w:line="240" w:lineRule="auto"/>
              <w:jc w:val="center"/>
              <w:rPr>
                <w:sz w:val="20"/>
              </w:rPr>
            </w:pPr>
            <w:r w:rsidRPr="00A235C0">
              <w:rPr>
                <w:sz w:val="20"/>
              </w:rPr>
              <w:t>Statewide</w:t>
            </w:r>
          </w:p>
        </w:tc>
        <w:tc>
          <w:tcPr>
            <w:tcW w:w="1545" w:type="dxa"/>
            <w:vAlign w:val="center"/>
          </w:tcPr>
          <w:p w:rsidR="00AE0DBE" w:rsidRPr="00A235C0" w:rsidRDefault="00AE0DBE" w:rsidP="00A235C0">
            <w:pPr>
              <w:keepNext/>
              <w:keepLines/>
              <w:spacing w:before="40" w:after="40" w:line="240" w:lineRule="auto"/>
              <w:jc w:val="center"/>
              <w:rPr>
                <w:sz w:val="20"/>
              </w:rPr>
            </w:pPr>
            <w:r w:rsidRPr="00A235C0">
              <w:rPr>
                <w:sz w:val="20"/>
              </w:rPr>
              <w:t>0.89</w:t>
            </w:r>
          </w:p>
        </w:tc>
        <w:tc>
          <w:tcPr>
            <w:tcW w:w="1545" w:type="dxa"/>
            <w:vAlign w:val="center"/>
          </w:tcPr>
          <w:p w:rsidR="00AE0DBE" w:rsidRPr="00A235C0" w:rsidRDefault="00AE0DBE" w:rsidP="00A235C0">
            <w:pPr>
              <w:keepNext/>
              <w:keepLines/>
              <w:spacing w:before="40" w:after="40" w:line="240" w:lineRule="auto"/>
              <w:jc w:val="center"/>
              <w:rPr>
                <w:sz w:val="20"/>
              </w:rPr>
            </w:pPr>
            <w:r w:rsidRPr="00A235C0">
              <w:rPr>
                <w:sz w:val="20"/>
              </w:rPr>
              <w:t>0.89</w:t>
            </w:r>
          </w:p>
        </w:tc>
      </w:tr>
      <w:tr w:rsidR="00AE0DBE" w:rsidRPr="007D7B78" w:rsidTr="00A235C0">
        <w:tc>
          <w:tcPr>
            <w:tcW w:w="1199" w:type="dxa"/>
            <w:vAlign w:val="center"/>
          </w:tcPr>
          <w:p w:rsidR="00AE0DBE" w:rsidRPr="00A235C0" w:rsidRDefault="00AE0DBE" w:rsidP="00A235C0">
            <w:pPr>
              <w:keepNext/>
              <w:keepLines/>
              <w:spacing w:before="40" w:after="40" w:line="240" w:lineRule="auto"/>
              <w:jc w:val="center"/>
              <w:rPr>
                <w:sz w:val="20"/>
              </w:rPr>
            </w:pPr>
            <w:r w:rsidRPr="00A235C0">
              <w:rPr>
                <w:sz w:val="20"/>
              </w:rPr>
              <w:t>Lighting Controls</w:t>
            </w:r>
          </w:p>
        </w:tc>
        <w:tc>
          <w:tcPr>
            <w:tcW w:w="1397" w:type="dxa"/>
            <w:vAlign w:val="center"/>
          </w:tcPr>
          <w:p w:rsidR="00AE0DBE" w:rsidRPr="00A235C0" w:rsidRDefault="00AE0DBE" w:rsidP="00A235C0">
            <w:pPr>
              <w:keepNext/>
              <w:keepLines/>
              <w:spacing w:before="40" w:after="40" w:line="240" w:lineRule="auto"/>
              <w:jc w:val="center"/>
              <w:rPr>
                <w:sz w:val="20"/>
              </w:rPr>
            </w:pPr>
            <w:r w:rsidRPr="00A235C0">
              <w:rPr>
                <w:sz w:val="20"/>
              </w:rPr>
              <w:t>All</w:t>
            </w:r>
          </w:p>
        </w:tc>
        <w:tc>
          <w:tcPr>
            <w:tcW w:w="1297" w:type="dxa"/>
            <w:vAlign w:val="center"/>
          </w:tcPr>
          <w:p w:rsidR="00AE0DBE" w:rsidRPr="00A235C0" w:rsidRDefault="00AE0DBE" w:rsidP="00A235C0">
            <w:pPr>
              <w:keepNext/>
              <w:keepLines/>
              <w:spacing w:before="40" w:after="40" w:line="240" w:lineRule="auto"/>
              <w:jc w:val="center"/>
              <w:rPr>
                <w:sz w:val="20"/>
              </w:rPr>
            </w:pPr>
            <w:r w:rsidRPr="00A235C0">
              <w:rPr>
                <w:sz w:val="20"/>
              </w:rPr>
              <w:t>Downstream Prescriptive</w:t>
            </w:r>
          </w:p>
        </w:tc>
        <w:tc>
          <w:tcPr>
            <w:tcW w:w="1381" w:type="dxa"/>
            <w:vAlign w:val="center"/>
          </w:tcPr>
          <w:p w:rsidR="00AE0DBE" w:rsidRPr="00A235C0" w:rsidRDefault="00AE0DBE" w:rsidP="00A235C0">
            <w:pPr>
              <w:keepNext/>
              <w:keepLines/>
              <w:spacing w:before="40" w:after="40" w:line="240" w:lineRule="auto"/>
              <w:jc w:val="center"/>
              <w:rPr>
                <w:sz w:val="20"/>
              </w:rPr>
            </w:pPr>
            <w:r w:rsidRPr="00A235C0">
              <w:rPr>
                <w:sz w:val="20"/>
              </w:rPr>
              <w:t>Non- Residential</w:t>
            </w:r>
          </w:p>
        </w:tc>
        <w:tc>
          <w:tcPr>
            <w:tcW w:w="1226" w:type="dxa"/>
            <w:vAlign w:val="center"/>
          </w:tcPr>
          <w:p w:rsidR="00AE0DBE" w:rsidRPr="00A235C0" w:rsidRDefault="00AE0DBE" w:rsidP="00A235C0">
            <w:pPr>
              <w:keepNext/>
              <w:keepLines/>
              <w:spacing w:before="40" w:after="40" w:line="240" w:lineRule="auto"/>
              <w:jc w:val="center"/>
              <w:rPr>
                <w:sz w:val="20"/>
              </w:rPr>
            </w:pPr>
            <w:r w:rsidRPr="00A235C0">
              <w:rPr>
                <w:sz w:val="20"/>
              </w:rPr>
              <w:t>Statewide</w:t>
            </w:r>
          </w:p>
        </w:tc>
        <w:tc>
          <w:tcPr>
            <w:tcW w:w="1545" w:type="dxa"/>
            <w:vAlign w:val="center"/>
          </w:tcPr>
          <w:p w:rsidR="00AE0DBE" w:rsidRPr="00A235C0" w:rsidRDefault="00AE0DBE" w:rsidP="00A235C0">
            <w:pPr>
              <w:keepNext/>
              <w:keepLines/>
              <w:spacing w:before="40" w:after="40" w:line="240" w:lineRule="auto"/>
              <w:jc w:val="center"/>
              <w:rPr>
                <w:sz w:val="20"/>
              </w:rPr>
            </w:pPr>
            <w:r w:rsidRPr="00A235C0">
              <w:rPr>
                <w:sz w:val="20"/>
              </w:rPr>
              <w:t>0.60</w:t>
            </w:r>
          </w:p>
        </w:tc>
        <w:tc>
          <w:tcPr>
            <w:tcW w:w="1545" w:type="dxa"/>
            <w:vAlign w:val="center"/>
          </w:tcPr>
          <w:p w:rsidR="00AE0DBE" w:rsidRPr="00A235C0" w:rsidRDefault="00AE0DBE" w:rsidP="00A235C0">
            <w:pPr>
              <w:keepNext/>
              <w:keepLines/>
              <w:spacing w:before="40" w:after="40" w:line="240" w:lineRule="auto"/>
              <w:jc w:val="center"/>
              <w:rPr>
                <w:sz w:val="20"/>
              </w:rPr>
            </w:pPr>
            <w:r w:rsidRPr="00A235C0">
              <w:rPr>
                <w:sz w:val="20"/>
              </w:rPr>
              <w:t>0.59</w:t>
            </w:r>
          </w:p>
        </w:tc>
      </w:tr>
      <w:tr w:rsidR="00AE0DBE" w:rsidRPr="007D7B78" w:rsidTr="00A235C0">
        <w:tc>
          <w:tcPr>
            <w:tcW w:w="1199" w:type="dxa"/>
            <w:tcBorders>
              <w:bottom w:val="single" w:sz="12" w:space="0" w:color="auto"/>
            </w:tcBorders>
            <w:vAlign w:val="center"/>
          </w:tcPr>
          <w:p w:rsidR="00AE0DBE" w:rsidRPr="00A235C0" w:rsidRDefault="00AE0DBE" w:rsidP="00A235C0">
            <w:pPr>
              <w:keepNext/>
              <w:keepLines/>
              <w:spacing w:before="40" w:after="40" w:line="240" w:lineRule="auto"/>
              <w:jc w:val="center"/>
              <w:rPr>
                <w:sz w:val="20"/>
              </w:rPr>
            </w:pPr>
            <w:r w:rsidRPr="00A235C0">
              <w:rPr>
                <w:sz w:val="20"/>
              </w:rPr>
              <w:t>Lighting Controls</w:t>
            </w:r>
          </w:p>
        </w:tc>
        <w:tc>
          <w:tcPr>
            <w:tcW w:w="1397" w:type="dxa"/>
            <w:tcBorders>
              <w:bottom w:val="single" w:sz="12" w:space="0" w:color="auto"/>
            </w:tcBorders>
            <w:vAlign w:val="center"/>
          </w:tcPr>
          <w:p w:rsidR="00AE0DBE" w:rsidRPr="00A235C0" w:rsidRDefault="00AE0DBE" w:rsidP="00A235C0">
            <w:pPr>
              <w:keepNext/>
              <w:keepLines/>
              <w:spacing w:before="40" w:after="40" w:line="240" w:lineRule="auto"/>
              <w:jc w:val="center"/>
              <w:rPr>
                <w:sz w:val="20"/>
              </w:rPr>
            </w:pPr>
            <w:r w:rsidRPr="00A235C0">
              <w:rPr>
                <w:sz w:val="20"/>
              </w:rPr>
              <w:t>All</w:t>
            </w:r>
          </w:p>
        </w:tc>
        <w:tc>
          <w:tcPr>
            <w:tcW w:w="1297" w:type="dxa"/>
            <w:tcBorders>
              <w:bottom w:val="single" w:sz="12" w:space="0" w:color="auto"/>
            </w:tcBorders>
            <w:vAlign w:val="center"/>
          </w:tcPr>
          <w:p w:rsidR="00AE0DBE" w:rsidRPr="00A235C0" w:rsidRDefault="00AE0DBE" w:rsidP="00A235C0">
            <w:pPr>
              <w:keepNext/>
              <w:keepLines/>
              <w:spacing w:before="40" w:after="40" w:line="240" w:lineRule="auto"/>
              <w:jc w:val="center"/>
              <w:rPr>
                <w:sz w:val="20"/>
              </w:rPr>
            </w:pPr>
            <w:r w:rsidRPr="00A235C0">
              <w:rPr>
                <w:sz w:val="20"/>
              </w:rPr>
              <w:t>Direct Install</w:t>
            </w:r>
          </w:p>
        </w:tc>
        <w:tc>
          <w:tcPr>
            <w:tcW w:w="1381" w:type="dxa"/>
            <w:tcBorders>
              <w:bottom w:val="single" w:sz="12" w:space="0" w:color="auto"/>
            </w:tcBorders>
            <w:vAlign w:val="center"/>
          </w:tcPr>
          <w:p w:rsidR="00AE0DBE" w:rsidRPr="00A235C0" w:rsidRDefault="00AE0DBE" w:rsidP="00A235C0">
            <w:pPr>
              <w:keepNext/>
              <w:keepLines/>
              <w:spacing w:before="40" w:after="40" w:line="240" w:lineRule="auto"/>
              <w:jc w:val="center"/>
              <w:rPr>
                <w:sz w:val="20"/>
              </w:rPr>
            </w:pPr>
            <w:r w:rsidRPr="00A235C0">
              <w:rPr>
                <w:sz w:val="20"/>
              </w:rPr>
              <w:t>Non- Residential</w:t>
            </w:r>
          </w:p>
        </w:tc>
        <w:tc>
          <w:tcPr>
            <w:tcW w:w="1226" w:type="dxa"/>
            <w:tcBorders>
              <w:bottom w:val="single" w:sz="12" w:space="0" w:color="auto"/>
            </w:tcBorders>
            <w:vAlign w:val="center"/>
          </w:tcPr>
          <w:p w:rsidR="00AE0DBE" w:rsidRPr="00A235C0" w:rsidRDefault="00AE0DBE" w:rsidP="00A235C0">
            <w:pPr>
              <w:keepNext/>
              <w:keepLines/>
              <w:spacing w:before="40" w:after="40" w:line="240" w:lineRule="auto"/>
              <w:jc w:val="center"/>
              <w:rPr>
                <w:sz w:val="20"/>
              </w:rPr>
            </w:pPr>
            <w:r w:rsidRPr="00A235C0">
              <w:rPr>
                <w:sz w:val="20"/>
              </w:rPr>
              <w:t>Statewide</w:t>
            </w:r>
          </w:p>
        </w:tc>
        <w:tc>
          <w:tcPr>
            <w:tcW w:w="1545" w:type="dxa"/>
            <w:tcBorders>
              <w:bottom w:val="single" w:sz="12" w:space="0" w:color="auto"/>
            </w:tcBorders>
            <w:vAlign w:val="center"/>
          </w:tcPr>
          <w:p w:rsidR="00AE0DBE" w:rsidRPr="00A235C0" w:rsidRDefault="00AE0DBE" w:rsidP="00A235C0">
            <w:pPr>
              <w:keepNext/>
              <w:keepLines/>
              <w:spacing w:before="40" w:after="40" w:line="240" w:lineRule="auto"/>
              <w:jc w:val="center"/>
              <w:rPr>
                <w:sz w:val="20"/>
              </w:rPr>
            </w:pPr>
            <w:r w:rsidRPr="00A235C0">
              <w:rPr>
                <w:sz w:val="20"/>
              </w:rPr>
              <w:t>0.89</w:t>
            </w:r>
          </w:p>
        </w:tc>
        <w:tc>
          <w:tcPr>
            <w:tcW w:w="1545" w:type="dxa"/>
            <w:tcBorders>
              <w:bottom w:val="single" w:sz="12" w:space="0" w:color="auto"/>
            </w:tcBorders>
            <w:vAlign w:val="center"/>
          </w:tcPr>
          <w:p w:rsidR="00AE0DBE" w:rsidRPr="00A235C0" w:rsidRDefault="00AE0DBE" w:rsidP="00A235C0">
            <w:pPr>
              <w:keepNext/>
              <w:keepLines/>
              <w:spacing w:before="40" w:after="40" w:line="240" w:lineRule="auto"/>
              <w:jc w:val="center"/>
              <w:rPr>
                <w:sz w:val="20"/>
              </w:rPr>
            </w:pPr>
            <w:r w:rsidRPr="00A235C0">
              <w:rPr>
                <w:sz w:val="20"/>
              </w:rPr>
              <w:t>0.74</w:t>
            </w:r>
          </w:p>
        </w:tc>
      </w:tr>
      <w:bookmarkEnd w:id="4"/>
    </w:tbl>
    <w:p w:rsidR="00AE0DBE" w:rsidRDefault="00AE0DBE" w:rsidP="007D7B78">
      <w:pPr>
        <w:pStyle w:val="Halfline"/>
      </w:pPr>
    </w:p>
    <w:p w:rsidR="00AE0DBE" w:rsidRPr="00BF4CDF" w:rsidRDefault="00AE0DBE" w:rsidP="00BF4CDF">
      <w:pPr>
        <w:pStyle w:val="Heading2"/>
        <w:numPr>
          <w:ilvl w:val="1"/>
          <w:numId w:val="9"/>
        </w:numPr>
      </w:pPr>
      <w:r w:rsidRPr="00BF4CDF">
        <w:t>Factors Likely to Lead to Changes in NTGR Over Next Three Years</w:t>
      </w:r>
    </w:p>
    <w:p w:rsidR="00AE0DBE" w:rsidRDefault="00AE0DBE" w:rsidP="0004507A">
      <w:r>
        <w:t>The DEER team reviewed the two most recent NTGR evaluations and the overall literature to identify key factors likely to lead to changes in NTGR over time for non-residential lighting measure programs. The principal factors were:</w:t>
      </w:r>
    </w:p>
    <w:p w:rsidR="00AE0DBE" w:rsidRPr="007D7B78" w:rsidRDefault="00AE0DBE" w:rsidP="005C6E80">
      <w:pPr>
        <w:pStyle w:val="ListParagraph"/>
        <w:numPr>
          <w:ilvl w:val="0"/>
          <w:numId w:val="11"/>
        </w:numPr>
      </w:pPr>
      <w:r w:rsidRPr="007D7B78">
        <w:t>Changes in the code will affect what measures are rebated in the future.</w:t>
      </w:r>
    </w:p>
    <w:p w:rsidR="00AE0DBE" w:rsidRPr="007D7B78" w:rsidRDefault="00AE0DBE" w:rsidP="005C6E80">
      <w:pPr>
        <w:pStyle w:val="ListParagraph"/>
        <w:numPr>
          <w:ilvl w:val="0"/>
          <w:numId w:val="11"/>
        </w:numPr>
      </w:pPr>
      <w:r w:rsidRPr="007D7B78">
        <w:t xml:space="preserve">Changes in rebate levels. </w:t>
      </w:r>
    </w:p>
    <w:p w:rsidR="00AE0DBE" w:rsidRPr="007D7B78" w:rsidRDefault="00AE0DBE" w:rsidP="005C6E80">
      <w:pPr>
        <w:pStyle w:val="ListParagraph"/>
        <w:numPr>
          <w:ilvl w:val="0"/>
          <w:numId w:val="11"/>
        </w:numPr>
      </w:pPr>
      <w:r w:rsidRPr="007D7B78">
        <w:t>Changes in incremental costs.</w:t>
      </w:r>
    </w:p>
    <w:p w:rsidR="00AE0DBE" w:rsidRPr="007D7B78" w:rsidRDefault="00AE0DBE" w:rsidP="005C6E80">
      <w:pPr>
        <w:pStyle w:val="ListParagraph"/>
        <w:numPr>
          <w:ilvl w:val="0"/>
          <w:numId w:val="11"/>
        </w:numPr>
      </w:pPr>
      <w:r w:rsidRPr="007D7B78">
        <w:t xml:space="preserve">Changes in Program Design or Sales Channel </w:t>
      </w:r>
      <w:r>
        <w:t>(</w:t>
      </w:r>
      <w:r w:rsidRPr="007D7B78">
        <w:t>Example</w:t>
      </w:r>
      <w:r>
        <w:t xml:space="preserve"> –</w:t>
      </w:r>
      <w:r w:rsidRPr="007D7B78">
        <w:t xml:space="preserve"> Target certain business sectors</w:t>
      </w:r>
      <w:r>
        <w:t>).</w:t>
      </w:r>
    </w:p>
    <w:p w:rsidR="00AE0DBE" w:rsidRPr="00BF4CDF" w:rsidRDefault="00AE0DBE" w:rsidP="00BF4CDF">
      <w:pPr>
        <w:pStyle w:val="Heading2"/>
        <w:numPr>
          <w:ilvl w:val="1"/>
          <w:numId w:val="9"/>
        </w:numPr>
      </w:pPr>
      <w:r w:rsidRPr="00BF4CDF">
        <w:t>Assessment of Current Data and Tools Available for Adjusting NTGR Over Time</w:t>
      </w:r>
    </w:p>
    <w:p w:rsidR="00AE0DBE" w:rsidRDefault="00AE0DBE" w:rsidP="00B253DF">
      <w:r>
        <w:t xml:space="preserve">The most likely impact on NTGRs in the future will be the upcoming changes to the codes for non-residential lighting.  As the currently rebated measures become standard, these NTGRs will no longer be representative of the new lighting technologies that replace them.  At this time, there is not sufficient data available to estimate a change in NTGR based on changes in code, rebate levels, or incremental costs.  The DEER team recognizes that future programs designs are likely to target different business sectors than past programs have targeted.  As a result, the </w:t>
      </w:r>
      <w:r>
        <w:lastRenderedPageBreak/>
        <w:t xml:space="preserve">DEER team recommends that NTGRs by measure, building type, and delivery mechanism are available for the program planners to customize a net to gross ratio by weighting the results by expected building types. </w:t>
      </w:r>
    </w:p>
    <w:p w:rsidR="00AE0DBE" w:rsidRPr="00BF4CDF" w:rsidRDefault="00AE0DBE" w:rsidP="00BF4CDF">
      <w:pPr>
        <w:pStyle w:val="Heading2"/>
        <w:numPr>
          <w:ilvl w:val="1"/>
          <w:numId w:val="9"/>
        </w:numPr>
      </w:pPr>
      <w:r w:rsidRPr="00BF4CDF">
        <w:t>Recommended NTGRs by Building Type to Assist Predicting NTGs for Future Programs</w:t>
      </w:r>
    </w:p>
    <w:p w:rsidR="00AE0DBE" w:rsidRPr="006A0903" w:rsidRDefault="00AE0DBE" w:rsidP="006A0903">
      <w:r>
        <w:t xml:space="preserve">The DEER team analyzed the sample sizes by measure, building type, and delivery mechanism to determine which combinations have enough sample points to warrant a DEER value.  All combinations that did not have enough sample points were combined into the “ALL OTHER” category.  </w:t>
      </w:r>
      <w:r w:rsidR="00201B90">
        <w:fldChar w:fldCharType="begin"/>
      </w:r>
      <w:r>
        <w:instrText xml:space="preserve"> REF _Ref305761868 \h </w:instrText>
      </w:r>
      <w:r w:rsidR="00201B90">
        <w:fldChar w:fldCharType="separate"/>
      </w:r>
      <w:r w:rsidR="00496826">
        <w:t xml:space="preserve">Table </w:t>
      </w:r>
      <w:r w:rsidR="00496826">
        <w:rPr>
          <w:noProof/>
        </w:rPr>
        <w:t>7</w:t>
      </w:r>
      <w:r w:rsidR="00496826">
        <w:noBreakHyphen/>
      </w:r>
      <w:r w:rsidR="00496826">
        <w:rPr>
          <w:noProof/>
        </w:rPr>
        <w:t>4</w:t>
      </w:r>
      <w:r w:rsidR="00201B90">
        <w:fldChar w:fldCharType="end"/>
      </w:r>
      <w:r>
        <w:t xml:space="preserve"> shows the recommendations for CFLs.  The only building type with a downstream prescriptive recommendation is lodging.  Lodging was a large participant in the 2006-2008 programs.  As shown in the table, the lodging NTGR is lower than other business types.  Having this data would allow program planners designing a program to that did not include lodging to use a NTGR that was more consistent.  Similarly, a program planner that is designing a direct install program could weight these net to gross ratios to determine a more accurate ratio to represent the program.  Please note that these NTGRs by building type should only be used to create a customized NTGR with the approval of the Energy Division.  The DEER team does not recommend that these be the official DEER values. </w:t>
      </w:r>
    </w:p>
    <w:p w:rsidR="00AE0DBE" w:rsidRDefault="00AE0DBE" w:rsidP="006A0903">
      <w:pPr>
        <w:pStyle w:val="Caption"/>
      </w:pPr>
      <w:bookmarkStart w:id="5" w:name="_Ref305761868"/>
      <w:r>
        <w:t xml:space="preserve">Table </w:t>
      </w:r>
      <w:fldSimple w:instr=" STYLEREF 1 \s ">
        <w:r w:rsidR="00496826">
          <w:rPr>
            <w:noProof/>
          </w:rPr>
          <w:t>7</w:t>
        </w:r>
      </w:fldSimple>
      <w:r>
        <w:noBreakHyphen/>
      </w:r>
      <w:fldSimple w:instr=" SEQ Table \* ARABIC \s 1 ">
        <w:r w:rsidR="00496826">
          <w:rPr>
            <w:noProof/>
          </w:rPr>
          <w:t>4</w:t>
        </w:r>
      </w:fldSimple>
      <w:bookmarkEnd w:id="5"/>
      <w:r>
        <w:t>:  CFL Sample Sizes and Net to Gross Ratios by Building Type and Delivery Mechanism</w:t>
      </w:r>
    </w:p>
    <w:tbl>
      <w:tblPr>
        <w:tblW w:w="959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0A0"/>
      </w:tblPr>
      <w:tblGrid>
        <w:gridCol w:w="2365"/>
        <w:gridCol w:w="1204"/>
        <w:gridCol w:w="1204"/>
        <w:gridCol w:w="1204"/>
        <w:gridCol w:w="1204"/>
        <w:gridCol w:w="1204"/>
        <w:gridCol w:w="1205"/>
      </w:tblGrid>
      <w:tr w:rsidR="00AE0DBE" w:rsidRPr="007D7B78" w:rsidTr="00A235C0">
        <w:tc>
          <w:tcPr>
            <w:tcW w:w="2365" w:type="dxa"/>
            <w:tcBorders>
              <w:top w:val="single" w:sz="12" w:space="0" w:color="auto"/>
              <w:bottom w:val="nil"/>
            </w:tcBorders>
            <w:shd w:val="pct20" w:color="auto" w:fill="auto"/>
          </w:tcPr>
          <w:p w:rsidR="00AE0DBE" w:rsidRPr="00A235C0" w:rsidRDefault="00AE0DBE" w:rsidP="00A235C0">
            <w:pPr>
              <w:keepNext/>
              <w:keepLines/>
              <w:spacing w:before="40" w:after="40" w:line="240" w:lineRule="auto"/>
              <w:jc w:val="center"/>
              <w:rPr>
                <w:b/>
              </w:rPr>
            </w:pPr>
          </w:p>
        </w:tc>
        <w:tc>
          <w:tcPr>
            <w:tcW w:w="3612" w:type="dxa"/>
            <w:gridSpan w:val="3"/>
            <w:tcBorders>
              <w:top w:val="single" w:sz="12" w:space="0" w:color="auto"/>
            </w:tcBorders>
            <w:shd w:val="pct20" w:color="auto" w:fill="auto"/>
          </w:tcPr>
          <w:p w:rsidR="00AE0DBE" w:rsidRPr="00A235C0" w:rsidRDefault="00AE0DBE" w:rsidP="00A235C0">
            <w:pPr>
              <w:keepNext/>
              <w:keepLines/>
              <w:spacing w:before="40" w:after="40"/>
              <w:jc w:val="center"/>
              <w:rPr>
                <w:b/>
                <w:sz w:val="20"/>
              </w:rPr>
            </w:pPr>
            <w:r w:rsidRPr="00A235C0">
              <w:rPr>
                <w:b/>
                <w:sz w:val="20"/>
              </w:rPr>
              <w:t>Direct Install</w:t>
            </w:r>
          </w:p>
        </w:tc>
        <w:tc>
          <w:tcPr>
            <w:tcW w:w="3613" w:type="dxa"/>
            <w:gridSpan w:val="3"/>
            <w:tcBorders>
              <w:top w:val="single" w:sz="12" w:space="0" w:color="auto"/>
            </w:tcBorders>
            <w:shd w:val="pct20" w:color="auto" w:fill="auto"/>
          </w:tcPr>
          <w:p w:rsidR="00AE0DBE" w:rsidRPr="00A235C0" w:rsidRDefault="00AE0DBE" w:rsidP="00A235C0">
            <w:pPr>
              <w:keepNext/>
              <w:keepLines/>
              <w:spacing w:before="40" w:after="40"/>
              <w:jc w:val="center"/>
              <w:rPr>
                <w:b/>
                <w:sz w:val="20"/>
              </w:rPr>
            </w:pPr>
            <w:r w:rsidRPr="00A235C0">
              <w:rPr>
                <w:b/>
                <w:sz w:val="20"/>
              </w:rPr>
              <w:t>Downstream Prescriptive</w:t>
            </w:r>
          </w:p>
        </w:tc>
      </w:tr>
      <w:tr w:rsidR="00AE0DBE" w:rsidRPr="007D7B78" w:rsidTr="00A235C0">
        <w:tc>
          <w:tcPr>
            <w:tcW w:w="2365" w:type="dxa"/>
            <w:tcBorders>
              <w:top w:val="nil"/>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p>
        </w:tc>
        <w:tc>
          <w:tcPr>
            <w:tcW w:w="1204" w:type="dxa"/>
            <w:tcBorders>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Sample Size</w:t>
            </w:r>
          </w:p>
        </w:tc>
        <w:tc>
          <w:tcPr>
            <w:tcW w:w="1204" w:type="dxa"/>
            <w:tcBorders>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NTGR (kWh)</w:t>
            </w:r>
          </w:p>
        </w:tc>
        <w:tc>
          <w:tcPr>
            <w:tcW w:w="1204" w:type="dxa"/>
            <w:tcBorders>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NTGR (kW)</w:t>
            </w:r>
          </w:p>
        </w:tc>
        <w:tc>
          <w:tcPr>
            <w:tcW w:w="1204" w:type="dxa"/>
            <w:tcBorders>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Sample Size</w:t>
            </w:r>
          </w:p>
        </w:tc>
        <w:tc>
          <w:tcPr>
            <w:tcW w:w="1204" w:type="dxa"/>
            <w:tcBorders>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NTGR (kWh)</w:t>
            </w:r>
          </w:p>
        </w:tc>
        <w:tc>
          <w:tcPr>
            <w:tcW w:w="1205" w:type="dxa"/>
            <w:tcBorders>
              <w:bottom w:val="single" w:sz="12" w:space="0" w:color="auto"/>
            </w:tcBorders>
            <w:shd w:val="pct20" w:color="auto" w:fill="auto"/>
            <w:vAlign w:val="bottom"/>
          </w:tcPr>
          <w:p w:rsidR="00AE0DBE" w:rsidRPr="00A235C0" w:rsidRDefault="00AE0DBE" w:rsidP="00A235C0">
            <w:pPr>
              <w:keepNext/>
              <w:keepLines/>
              <w:spacing w:before="40" w:after="40" w:line="240" w:lineRule="auto"/>
              <w:jc w:val="center"/>
              <w:rPr>
                <w:b/>
                <w:sz w:val="20"/>
              </w:rPr>
            </w:pPr>
            <w:r w:rsidRPr="00A235C0">
              <w:rPr>
                <w:b/>
                <w:sz w:val="20"/>
              </w:rPr>
              <w:t>NTGR (kW)</w:t>
            </w:r>
          </w:p>
        </w:tc>
      </w:tr>
      <w:tr w:rsidR="00AE0DBE" w:rsidRPr="007D7B78" w:rsidTr="00A235C0">
        <w:tc>
          <w:tcPr>
            <w:tcW w:w="2365" w:type="dxa"/>
            <w:tcBorders>
              <w:top w:val="single" w:sz="12" w:space="0" w:color="auto"/>
            </w:tcBorders>
            <w:vAlign w:val="bottom"/>
          </w:tcPr>
          <w:p w:rsidR="00AE0DBE" w:rsidRPr="00A235C0" w:rsidRDefault="00AE0DBE" w:rsidP="00A235C0">
            <w:pPr>
              <w:spacing w:before="40" w:after="40" w:line="240" w:lineRule="auto"/>
              <w:jc w:val="left"/>
              <w:rPr>
                <w:rFonts w:cs="Arial"/>
                <w:sz w:val="20"/>
                <w:szCs w:val="20"/>
              </w:rPr>
            </w:pPr>
            <w:r w:rsidRPr="00A235C0">
              <w:rPr>
                <w:rFonts w:cs="Arial"/>
                <w:sz w:val="20"/>
                <w:szCs w:val="20"/>
              </w:rPr>
              <w:t>All Other</w:t>
            </w:r>
          </w:p>
        </w:tc>
        <w:tc>
          <w:tcPr>
            <w:tcW w:w="1204" w:type="dxa"/>
            <w:tcBorders>
              <w:top w:val="single" w:sz="12" w:space="0" w:color="auto"/>
            </w:tcBorders>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96</w:t>
            </w:r>
          </w:p>
        </w:tc>
        <w:tc>
          <w:tcPr>
            <w:tcW w:w="1204" w:type="dxa"/>
            <w:tcBorders>
              <w:top w:val="single" w:sz="12" w:space="0" w:color="auto"/>
            </w:tcBorders>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0.80</w:t>
            </w:r>
          </w:p>
        </w:tc>
        <w:tc>
          <w:tcPr>
            <w:tcW w:w="1204" w:type="dxa"/>
            <w:tcBorders>
              <w:top w:val="single" w:sz="12" w:space="0" w:color="auto"/>
            </w:tcBorders>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0.75</w:t>
            </w:r>
          </w:p>
        </w:tc>
        <w:tc>
          <w:tcPr>
            <w:tcW w:w="1204" w:type="dxa"/>
            <w:tcBorders>
              <w:top w:val="single" w:sz="12" w:space="0" w:color="auto"/>
            </w:tcBorders>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74</w:t>
            </w:r>
          </w:p>
        </w:tc>
        <w:tc>
          <w:tcPr>
            <w:tcW w:w="1204" w:type="dxa"/>
            <w:tcBorders>
              <w:top w:val="single" w:sz="12" w:space="0" w:color="auto"/>
            </w:tcBorders>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0.61</w:t>
            </w:r>
          </w:p>
        </w:tc>
        <w:tc>
          <w:tcPr>
            <w:tcW w:w="1205" w:type="dxa"/>
            <w:tcBorders>
              <w:top w:val="single" w:sz="12" w:space="0" w:color="auto"/>
            </w:tcBorders>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0.63</w:t>
            </w:r>
          </w:p>
        </w:tc>
      </w:tr>
      <w:tr w:rsidR="00AE0DBE" w:rsidRPr="007D7B78" w:rsidTr="00A235C0">
        <w:tc>
          <w:tcPr>
            <w:tcW w:w="2365" w:type="dxa"/>
            <w:vAlign w:val="bottom"/>
          </w:tcPr>
          <w:p w:rsidR="00AE0DBE" w:rsidRPr="00A235C0" w:rsidRDefault="00AE0DBE" w:rsidP="00A235C0">
            <w:pPr>
              <w:spacing w:before="40" w:after="40" w:line="240" w:lineRule="auto"/>
              <w:jc w:val="left"/>
              <w:rPr>
                <w:rFonts w:cs="Arial"/>
                <w:sz w:val="20"/>
                <w:szCs w:val="20"/>
              </w:rPr>
            </w:pPr>
            <w:r w:rsidRPr="00A235C0">
              <w:rPr>
                <w:rFonts w:cs="Arial"/>
                <w:sz w:val="20"/>
                <w:szCs w:val="20"/>
              </w:rPr>
              <w:t>Assembly</w:t>
            </w:r>
          </w:p>
        </w:tc>
        <w:tc>
          <w:tcPr>
            <w:tcW w:w="1204"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20</w:t>
            </w:r>
          </w:p>
        </w:tc>
        <w:tc>
          <w:tcPr>
            <w:tcW w:w="1204"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0.54</w:t>
            </w:r>
          </w:p>
        </w:tc>
        <w:tc>
          <w:tcPr>
            <w:tcW w:w="1204"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0.53</w:t>
            </w:r>
          </w:p>
        </w:tc>
        <w:tc>
          <w:tcPr>
            <w:tcW w:w="1204" w:type="dxa"/>
            <w:vAlign w:val="center"/>
          </w:tcPr>
          <w:p w:rsidR="00AE0DBE" w:rsidRPr="00A235C0" w:rsidRDefault="00AE0DBE" w:rsidP="00A235C0">
            <w:pPr>
              <w:spacing w:before="40" w:after="40" w:line="240" w:lineRule="auto"/>
              <w:jc w:val="center"/>
              <w:rPr>
                <w:rFonts w:cs="Arial"/>
                <w:sz w:val="20"/>
                <w:szCs w:val="20"/>
              </w:rPr>
            </w:pPr>
          </w:p>
        </w:tc>
        <w:tc>
          <w:tcPr>
            <w:tcW w:w="1204" w:type="dxa"/>
            <w:vAlign w:val="center"/>
          </w:tcPr>
          <w:p w:rsidR="00AE0DBE" w:rsidRPr="00A235C0" w:rsidRDefault="00AE0DBE" w:rsidP="00A235C0">
            <w:pPr>
              <w:spacing w:before="40" w:after="40" w:line="240" w:lineRule="auto"/>
              <w:jc w:val="center"/>
              <w:rPr>
                <w:rFonts w:cs="Arial"/>
                <w:sz w:val="20"/>
                <w:szCs w:val="20"/>
              </w:rPr>
            </w:pPr>
          </w:p>
        </w:tc>
        <w:tc>
          <w:tcPr>
            <w:tcW w:w="1205" w:type="dxa"/>
            <w:vAlign w:val="center"/>
          </w:tcPr>
          <w:p w:rsidR="00AE0DBE" w:rsidRPr="00A235C0" w:rsidRDefault="00AE0DBE" w:rsidP="00A235C0">
            <w:pPr>
              <w:spacing w:before="40" w:after="40" w:line="240" w:lineRule="auto"/>
              <w:jc w:val="center"/>
              <w:rPr>
                <w:rFonts w:cs="Arial"/>
                <w:sz w:val="20"/>
                <w:szCs w:val="20"/>
              </w:rPr>
            </w:pPr>
          </w:p>
        </w:tc>
      </w:tr>
      <w:tr w:rsidR="00AE0DBE" w:rsidRPr="007D7B78" w:rsidTr="00A235C0">
        <w:tc>
          <w:tcPr>
            <w:tcW w:w="2365" w:type="dxa"/>
            <w:vAlign w:val="bottom"/>
          </w:tcPr>
          <w:p w:rsidR="00AE0DBE" w:rsidRPr="00A235C0" w:rsidRDefault="00AE0DBE" w:rsidP="00A235C0">
            <w:pPr>
              <w:spacing w:before="40" w:after="40" w:line="240" w:lineRule="auto"/>
              <w:jc w:val="left"/>
              <w:rPr>
                <w:rFonts w:cs="Arial"/>
                <w:sz w:val="20"/>
                <w:szCs w:val="20"/>
              </w:rPr>
            </w:pPr>
            <w:r w:rsidRPr="00A235C0">
              <w:rPr>
                <w:rFonts w:cs="Arial"/>
                <w:sz w:val="20"/>
                <w:szCs w:val="20"/>
              </w:rPr>
              <w:t>Health/Medical - Nursing Home</w:t>
            </w:r>
          </w:p>
        </w:tc>
        <w:tc>
          <w:tcPr>
            <w:tcW w:w="1204"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51</w:t>
            </w:r>
          </w:p>
        </w:tc>
        <w:tc>
          <w:tcPr>
            <w:tcW w:w="1204"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0.83</w:t>
            </w:r>
          </w:p>
        </w:tc>
        <w:tc>
          <w:tcPr>
            <w:tcW w:w="1204"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0.83</w:t>
            </w:r>
          </w:p>
        </w:tc>
        <w:tc>
          <w:tcPr>
            <w:tcW w:w="1204" w:type="dxa"/>
            <w:vAlign w:val="center"/>
          </w:tcPr>
          <w:p w:rsidR="00AE0DBE" w:rsidRPr="00A235C0" w:rsidRDefault="00AE0DBE" w:rsidP="00A235C0">
            <w:pPr>
              <w:spacing w:before="40" w:after="40" w:line="240" w:lineRule="auto"/>
              <w:jc w:val="center"/>
              <w:rPr>
                <w:rFonts w:cs="Arial"/>
                <w:sz w:val="20"/>
                <w:szCs w:val="20"/>
              </w:rPr>
            </w:pPr>
          </w:p>
        </w:tc>
        <w:tc>
          <w:tcPr>
            <w:tcW w:w="1204" w:type="dxa"/>
            <w:vAlign w:val="center"/>
          </w:tcPr>
          <w:p w:rsidR="00AE0DBE" w:rsidRPr="00A235C0" w:rsidRDefault="00AE0DBE" w:rsidP="00A235C0">
            <w:pPr>
              <w:spacing w:before="40" w:after="40" w:line="240" w:lineRule="auto"/>
              <w:jc w:val="center"/>
              <w:rPr>
                <w:rFonts w:cs="Arial"/>
                <w:sz w:val="20"/>
                <w:szCs w:val="20"/>
              </w:rPr>
            </w:pPr>
          </w:p>
        </w:tc>
        <w:tc>
          <w:tcPr>
            <w:tcW w:w="1205" w:type="dxa"/>
            <w:vAlign w:val="center"/>
          </w:tcPr>
          <w:p w:rsidR="00AE0DBE" w:rsidRPr="00A235C0" w:rsidRDefault="00AE0DBE" w:rsidP="00A235C0">
            <w:pPr>
              <w:spacing w:before="40" w:after="40" w:line="240" w:lineRule="auto"/>
              <w:jc w:val="center"/>
              <w:rPr>
                <w:rFonts w:cs="Arial"/>
                <w:sz w:val="20"/>
                <w:szCs w:val="20"/>
              </w:rPr>
            </w:pPr>
          </w:p>
        </w:tc>
      </w:tr>
      <w:tr w:rsidR="00AE0DBE" w:rsidRPr="007D7B78" w:rsidTr="00A235C0">
        <w:tc>
          <w:tcPr>
            <w:tcW w:w="2365" w:type="dxa"/>
            <w:vAlign w:val="bottom"/>
          </w:tcPr>
          <w:p w:rsidR="00AE0DBE" w:rsidRPr="00A235C0" w:rsidRDefault="00AE0DBE" w:rsidP="00A235C0">
            <w:pPr>
              <w:spacing w:before="40" w:after="40" w:line="240" w:lineRule="auto"/>
              <w:jc w:val="left"/>
              <w:rPr>
                <w:rFonts w:cs="Arial"/>
                <w:sz w:val="20"/>
                <w:szCs w:val="20"/>
              </w:rPr>
            </w:pPr>
            <w:r w:rsidRPr="00A235C0">
              <w:rPr>
                <w:rFonts w:cs="Arial"/>
                <w:sz w:val="20"/>
                <w:szCs w:val="20"/>
              </w:rPr>
              <w:t>Lodging</w:t>
            </w:r>
          </w:p>
        </w:tc>
        <w:tc>
          <w:tcPr>
            <w:tcW w:w="1204"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32</w:t>
            </w:r>
          </w:p>
        </w:tc>
        <w:tc>
          <w:tcPr>
            <w:tcW w:w="1204"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0.77</w:t>
            </w:r>
          </w:p>
        </w:tc>
        <w:tc>
          <w:tcPr>
            <w:tcW w:w="1204"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0.77</w:t>
            </w:r>
          </w:p>
        </w:tc>
        <w:tc>
          <w:tcPr>
            <w:tcW w:w="1204"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41</w:t>
            </w:r>
          </w:p>
        </w:tc>
        <w:tc>
          <w:tcPr>
            <w:tcW w:w="1204"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0.40</w:t>
            </w:r>
          </w:p>
        </w:tc>
        <w:tc>
          <w:tcPr>
            <w:tcW w:w="1205"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0.40</w:t>
            </w:r>
          </w:p>
        </w:tc>
      </w:tr>
      <w:tr w:rsidR="00AE0DBE" w:rsidRPr="007D7B78" w:rsidTr="00A235C0">
        <w:tc>
          <w:tcPr>
            <w:tcW w:w="2365" w:type="dxa"/>
            <w:vAlign w:val="bottom"/>
          </w:tcPr>
          <w:p w:rsidR="00AE0DBE" w:rsidRPr="00A235C0" w:rsidRDefault="00AE0DBE" w:rsidP="00A235C0">
            <w:pPr>
              <w:spacing w:before="40" w:after="40" w:line="240" w:lineRule="auto"/>
              <w:jc w:val="left"/>
              <w:rPr>
                <w:rFonts w:cs="Arial"/>
                <w:sz w:val="20"/>
                <w:szCs w:val="20"/>
              </w:rPr>
            </w:pPr>
            <w:r w:rsidRPr="00A235C0">
              <w:rPr>
                <w:rFonts w:cs="Arial"/>
                <w:sz w:val="20"/>
                <w:szCs w:val="20"/>
              </w:rPr>
              <w:t>Office - Small</w:t>
            </w:r>
          </w:p>
        </w:tc>
        <w:tc>
          <w:tcPr>
            <w:tcW w:w="1204"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59</w:t>
            </w:r>
          </w:p>
        </w:tc>
        <w:tc>
          <w:tcPr>
            <w:tcW w:w="1204"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0.89</w:t>
            </w:r>
          </w:p>
        </w:tc>
        <w:tc>
          <w:tcPr>
            <w:tcW w:w="1204"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0.89</w:t>
            </w:r>
          </w:p>
        </w:tc>
        <w:tc>
          <w:tcPr>
            <w:tcW w:w="1204" w:type="dxa"/>
            <w:vAlign w:val="center"/>
          </w:tcPr>
          <w:p w:rsidR="00AE0DBE" w:rsidRPr="00A235C0" w:rsidRDefault="00AE0DBE" w:rsidP="00A235C0">
            <w:pPr>
              <w:spacing w:before="40" w:after="40" w:line="240" w:lineRule="auto"/>
              <w:jc w:val="center"/>
              <w:rPr>
                <w:rFonts w:cs="Arial"/>
                <w:sz w:val="20"/>
                <w:szCs w:val="20"/>
              </w:rPr>
            </w:pPr>
          </w:p>
        </w:tc>
        <w:tc>
          <w:tcPr>
            <w:tcW w:w="1204" w:type="dxa"/>
            <w:vAlign w:val="center"/>
          </w:tcPr>
          <w:p w:rsidR="00AE0DBE" w:rsidRPr="00A235C0" w:rsidRDefault="00AE0DBE" w:rsidP="00A235C0">
            <w:pPr>
              <w:spacing w:before="40" w:after="40" w:line="240" w:lineRule="auto"/>
              <w:jc w:val="center"/>
              <w:rPr>
                <w:rFonts w:cs="Arial"/>
                <w:sz w:val="20"/>
                <w:szCs w:val="20"/>
              </w:rPr>
            </w:pPr>
          </w:p>
        </w:tc>
        <w:tc>
          <w:tcPr>
            <w:tcW w:w="1205" w:type="dxa"/>
            <w:vAlign w:val="center"/>
          </w:tcPr>
          <w:p w:rsidR="00AE0DBE" w:rsidRPr="00A235C0" w:rsidRDefault="00AE0DBE" w:rsidP="00A235C0">
            <w:pPr>
              <w:spacing w:before="40" w:after="40" w:line="240" w:lineRule="auto"/>
              <w:jc w:val="center"/>
              <w:rPr>
                <w:rFonts w:cs="Arial"/>
                <w:sz w:val="20"/>
                <w:szCs w:val="20"/>
              </w:rPr>
            </w:pPr>
          </w:p>
        </w:tc>
      </w:tr>
      <w:tr w:rsidR="00AE0DBE" w:rsidRPr="007D7B78" w:rsidTr="00A235C0">
        <w:tc>
          <w:tcPr>
            <w:tcW w:w="2365" w:type="dxa"/>
            <w:vAlign w:val="bottom"/>
          </w:tcPr>
          <w:p w:rsidR="00AE0DBE" w:rsidRPr="00A235C0" w:rsidRDefault="00AE0DBE" w:rsidP="00A235C0">
            <w:pPr>
              <w:spacing w:before="40" w:after="40" w:line="240" w:lineRule="auto"/>
              <w:jc w:val="left"/>
              <w:rPr>
                <w:rFonts w:cs="Arial"/>
                <w:sz w:val="20"/>
                <w:szCs w:val="20"/>
              </w:rPr>
            </w:pPr>
            <w:r w:rsidRPr="00A235C0">
              <w:rPr>
                <w:rFonts w:cs="Arial"/>
                <w:sz w:val="20"/>
                <w:szCs w:val="20"/>
              </w:rPr>
              <w:t>Retail - Single-Story Large</w:t>
            </w:r>
          </w:p>
        </w:tc>
        <w:tc>
          <w:tcPr>
            <w:tcW w:w="1204"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22</w:t>
            </w:r>
          </w:p>
        </w:tc>
        <w:tc>
          <w:tcPr>
            <w:tcW w:w="1204"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0.89</w:t>
            </w:r>
          </w:p>
        </w:tc>
        <w:tc>
          <w:tcPr>
            <w:tcW w:w="1204" w:type="dxa"/>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0.88</w:t>
            </w:r>
          </w:p>
        </w:tc>
        <w:tc>
          <w:tcPr>
            <w:tcW w:w="1204" w:type="dxa"/>
            <w:vAlign w:val="center"/>
          </w:tcPr>
          <w:p w:rsidR="00AE0DBE" w:rsidRPr="00A235C0" w:rsidRDefault="00AE0DBE" w:rsidP="00A235C0">
            <w:pPr>
              <w:spacing w:before="40" w:after="40" w:line="240" w:lineRule="auto"/>
              <w:jc w:val="center"/>
              <w:rPr>
                <w:rFonts w:cs="Arial"/>
                <w:sz w:val="20"/>
                <w:szCs w:val="20"/>
              </w:rPr>
            </w:pPr>
          </w:p>
        </w:tc>
        <w:tc>
          <w:tcPr>
            <w:tcW w:w="1204" w:type="dxa"/>
            <w:vAlign w:val="center"/>
          </w:tcPr>
          <w:p w:rsidR="00AE0DBE" w:rsidRPr="00A235C0" w:rsidRDefault="00AE0DBE" w:rsidP="00A235C0">
            <w:pPr>
              <w:spacing w:before="40" w:after="40" w:line="240" w:lineRule="auto"/>
              <w:jc w:val="center"/>
              <w:rPr>
                <w:rFonts w:cs="Arial"/>
                <w:sz w:val="20"/>
                <w:szCs w:val="20"/>
              </w:rPr>
            </w:pPr>
          </w:p>
        </w:tc>
        <w:tc>
          <w:tcPr>
            <w:tcW w:w="1205" w:type="dxa"/>
            <w:vAlign w:val="center"/>
          </w:tcPr>
          <w:p w:rsidR="00AE0DBE" w:rsidRPr="00A235C0" w:rsidRDefault="00AE0DBE" w:rsidP="00A235C0">
            <w:pPr>
              <w:spacing w:before="40" w:after="40" w:line="240" w:lineRule="auto"/>
              <w:jc w:val="center"/>
              <w:rPr>
                <w:rFonts w:cs="Arial"/>
                <w:sz w:val="20"/>
                <w:szCs w:val="20"/>
              </w:rPr>
            </w:pPr>
          </w:p>
        </w:tc>
      </w:tr>
      <w:tr w:rsidR="00AE0DBE" w:rsidRPr="007D7B78" w:rsidTr="00A235C0">
        <w:tc>
          <w:tcPr>
            <w:tcW w:w="2365" w:type="dxa"/>
            <w:tcBorders>
              <w:bottom w:val="single" w:sz="12" w:space="0" w:color="auto"/>
            </w:tcBorders>
            <w:vAlign w:val="bottom"/>
          </w:tcPr>
          <w:p w:rsidR="00AE0DBE" w:rsidRPr="00A235C0" w:rsidRDefault="00AE0DBE" w:rsidP="00A235C0">
            <w:pPr>
              <w:spacing w:before="40" w:after="40" w:line="240" w:lineRule="auto"/>
              <w:jc w:val="left"/>
              <w:rPr>
                <w:rFonts w:cs="Arial"/>
                <w:sz w:val="20"/>
                <w:szCs w:val="20"/>
              </w:rPr>
            </w:pPr>
            <w:r w:rsidRPr="00A235C0">
              <w:rPr>
                <w:rFonts w:cs="Arial"/>
                <w:sz w:val="20"/>
                <w:szCs w:val="20"/>
              </w:rPr>
              <w:t>Retail - Small</w:t>
            </w:r>
          </w:p>
        </w:tc>
        <w:tc>
          <w:tcPr>
            <w:tcW w:w="1204" w:type="dxa"/>
            <w:tcBorders>
              <w:bottom w:val="single" w:sz="12" w:space="0" w:color="auto"/>
            </w:tcBorders>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164</w:t>
            </w:r>
          </w:p>
        </w:tc>
        <w:tc>
          <w:tcPr>
            <w:tcW w:w="1204" w:type="dxa"/>
            <w:tcBorders>
              <w:bottom w:val="single" w:sz="12" w:space="0" w:color="auto"/>
            </w:tcBorders>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0.79</w:t>
            </w:r>
          </w:p>
        </w:tc>
        <w:tc>
          <w:tcPr>
            <w:tcW w:w="1204" w:type="dxa"/>
            <w:tcBorders>
              <w:bottom w:val="single" w:sz="12" w:space="0" w:color="auto"/>
            </w:tcBorders>
            <w:vAlign w:val="center"/>
          </w:tcPr>
          <w:p w:rsidR="00AE0DBE" w:rsidRPr="00A235C0" w:rsidRDefault="00AE0DBE" w:rsidP="00A235C0">
            <w:pPr>
              <w:spacing w:before="40" w:after="40" w:line="240" w:lineRule="auto"/>
              <w:jc w:val="center"/>
              <w:rPr>
                <w:rFonts w:cs="Arial"/>
                <w:sz w:val="20"/>
                <w:szCs w:val="20"/>
              </w:rPr>
            </w:pPr>
            <w:r w:rsidRPr="00A235C0">
              <w:rPr>
                <w:rFonts w:cs="Arial"/>
                <w:sz w:val="20"/>
                <w:szCs w:val="20"/>
              </w:rPr>
              <w:t>0.79</w:t>
            </w:r>
          </w:p>
        </w:tc>
        <w:tc>
          <w:tcPr>
            <w:tcW w:w="1204" w:type="dxa"/>
            <w:tcBorders>
              <w:bottom w:val="single" w:sz="12" w:space="0" w:color="auto"/>
            </w:tcBorders>
            <w:vAlign w:val="center"/>
          </w:tcPr>
          <w:p w:rsidR="00AE0DBE" w:rsidRPr="00A235C0" w:rsidRDefault="00AE0DBE" w:rsidP="00A235C0">
            <w:pPr>
              <w:spacing w:before="40" w:after="40" w:line="240" w:lineRule="auto"/>
              <w:jc w:val="center"/>
              <w:rPr>
                <w:rFonts w:cs="Arial"/>
                <w:sz w:val="20"/>
                <w:szCs w:val="20"/>
              </w:rPr>
            </w:pPr>
          </w:p>
        </w:tc>
        <w:tc>
          <w:tcPr>
            <w:tcW w:w="1204" w:type="dxa"/>
            <w:tcBorders>
              <w:bottom w:val="single" w:sz="12" w:space="0" w:color="auto"/>
            </w:tcBorders>
            <w:vAlign w:val="center"/>
          </w:tcPr>
          <w:p w:rsidR="00AE0DBE" w:rsidRPr="00A235C0" w:rsidRDefault="00AE0DBE" w:rsidP="00A235C0">
            <w:pPr>
              <w:spacing w:before="40" w:after="40" w:line="240" w:lineRule="auto"/>
              <w:jc w:val="center"/>
              <w:rPr>
                <w:rFonts w:cs="Arial"/>
                <w:sz w:val="20"/>
                <w:szCs w:val="20"/>
              </w:rPr>
            </w:pPr>
          </w:p>
        </w:tc>
        <w:tc>
          <w:tcPr>
            <w:tcW w:w="1205" w:type="dxa"/>
            <w:tcBorders>
              <w:bottom w:val="single" w:sz="12" w:space="0" w:color="auto"/>
            </w:tcBorders>
            <w:vAlign w:val="center"/>
          </w:tcPr>
          <w:p w:rsidR="00AE0DBE" w:rsidRPr="00A235C0" w:rsidRDefault="00AE0DBE" w:rsidP="00A235C0">
            <w:pPr>
              <w:spacing w:before="40" w:after="40" w:line="240" w:lineRule="auto"/>
              <w:jc w:val="center"/>
              <w:rPr>
                <w:rFonts w:cs="Arial"/>
                <w:sz w:val="20"/>
                <w:szCs w:val="20"/>
              </w:rPr>
            </w:pPr>
          </w:p>
        </w:tc>
      </w:tr>
    </w:tbl>
    <w:p w:rsidR="00AE0DBE" w:rsidRPr="006A0903" w:rsidRDefault="00AE0DBE" w:rsidP="007D7B78">
      <w:pPr>
        <w:pStyle w:val="Halfline"/>
      </w:pPr>
    </w:p>
    <w:p w:rsidR="00AE0DBE" w:rsidRDefault="00201B90" w:rsidP="006A0903">
      <w:pPr>
        <w:spacing w:after="130"/>
      </w:pPr>
      <w:r>
        <w:fldChar w:fldCharType="begin"/>
      </w:r>
      <w:r w:rsidR="00AE0DBE">
        <w:instrText xml:space="preserve"> REF _Ref305762580 \h </w:instrText>
      </w:r>
      <w:r>
        <w:fldChar w:fldCharType="separate"/>
      </w:r>
      <w:r w:rsidR="00496826">
        <w:t xml:space="preserve">Table </w:t>
      </w:r>
      <w:r w:rsidR="00496826">
        <w:rPr>
          <w:noProof/>
        </w:rPr>
        <w:t>7</w:t>
      </w:r>
      <w:r w:rsidR="00496826">
        <w:noBreakHyphen/>
      </w:r>
      <w:r w:rsidR="00496826">
        <w:rPr>
          <w:noProof/>
        </w:rPr>
        <w:t>5</w:t>
      </w:r>
      <w:r>
        <w:fldChar w:fldCharType="end"/>
      </w:r>
      <w:r w:rsidR="00AE0DBE">
        <w:t xml:space="preserve"> shows the recommendations for net to gross ratios by building type and delivery mechanism for linear fluorescents.  </w:t>
      </w:r>
    </w:p>
    <w:p w:rsidR="00AE0DBE" w:rsidRDefault="00AE0DBE" w:rsidP="006B52C8">
      <w:pPr>
        <w:pStyle w:val="Caption"/>
      </w:pPr>
      <w:bookmarkStart w:id="6" w:name="_Ref305762580"/>
      <w:r>
        <w:lastRenderedPageBreak/>
        <w:t xml:space="preserve">Table </w:t>
      </w:r>
      <w:fldSimple w:instr=" STYLEREF 1 \s ">
        <w:r w:rsidR="00496826">
          <w:rPr>
            <w:noProof/>
          </w:rPr>
          <w:t>7</w:t>
        </w:r>
      </w:fldSimple>
      <w:r>
        <w:noBreakHyphen/>
      </w:r>
      <w:fldSimple w:instr=" SEQ Table \* ARABIC \s 1 ">
        <w:r w:rsidR="00496826">
          <w:rPr>
            <w:noProof/>
          </w:rPr>
          <w:t>5</w:t>
        </w:r>
      </w:fldSimple>
      <w:bookmarkEnd w:id="6"/>
      <w:r>
        <w:t>:  Linear Fluorescent Sample Sizes and Net to Gross Ratios by Building Type and Delivery Mechanism</w:t>
      </w:r>
    </w:p>
    <w:tbl>
      <w:tblPr>
        <w:tblW w:w="959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0A0"/>
      </w:tblPr>
      <w:tblGrid>
        <w:gridCol w:w="2279"/>
        <w:gridCol w:w="1218"/>
        <w:gridCol w:w="1219"/>
        <w:gridCol w:w="1218"/>
        <w:gridCol w:w="1219"/>
        <w:gridCol w:w="1218"/>
        <w:gridCol w:w="1219"/>
      </w:tblGrid>
      <w:tr w:rsidR="00AE0DBE" w:rsidRPr="007D7B78" w:rsidTr="00A235C0">
        <w:tc>
          <w:tcPr>
            <w:tcW w:w="2279" w:type="dxa"/>
            <w:tcBorders>
              <w:top w:val="single" w:sz="12" w:space="0" w:color="auto"/>
              <w:bottom w:val="nil"/>
            </w:tcBorders>
            <w:shd w:val="pct20" w:color="auto" w:fill="auto"/>
            <w:tcMar>
              <w:top w:w="29" w:type="dxa"/>
              <w:left w:w="29" w:type="dxa"/>
              <w:bottom w:w="29" w:type="dxa"/>
              <w:right w:w="29" w:type="dxa"/>
            </w:tcMar>
          </w:tcPr>
          <w:p w:rsidR="00AE0DBE" w:rsidRPr="00A235C0" w:rsidRDefault="00AE0DBE" w:rsidP="00A235C0">
            <w:pPr>
              <w:keepNext/>
              <w:keepLines/>
              <w:spacing w:before="40" w:after="40" w:line="240" w:lineRule="auto"/>
              <w:jc w:val="center"/>
              <w:rPr>
                <w:b/>
                <w:sz w:val="20"/>
              </w:rPr>
            </w:pPr>
          </w:p>
        </w:tc>
        <w:tc>
          <w:tcPr>
            <w:tcW w:w="3655" w:type="dxa"/>
            <w:gridSpan w:val="3"/>
            <w:tcBorders>
              <w:top w:val="single" w:sz="12" w:space="0" w:color="auto"/>
            </w:tcBorders>
            <w:shd w:val="pct20" w:color="auto" w:fill="auto"/>
            <w:tcMar>
              <w:top w:w="29" w:type="dxa"/>
              <w:left w:w="29" w:type="dxa"/>
              <w:bottom w:w="29" w:type="dxa"/>
              <w:right w:w="29" w:type="dxa"/>
            </w:tcMar>
          </w:tcPr>
          <w:p w:rsidR="00AE0DBE" w:rsidRPr="00A235C0" w:rsidRDefault="00AE0DBE" w:rsidP="00A235C0">
            <w:pPr>
              <w:keepNext/>
              <w:keepLines/>
              <w:spacing w:before="40" w:after="40" w:line="240" w:lineRule="auto"/>
              <w:jc w:val="center"/>
              <w:rPr>
                <w:b/>
                <w:sz w:val="20"/>
              </w:rPr>
            </w:pPr>
            <w:r w:rsidRPr="00A235C0">
              <w:rPr>
                <w:b/>
                <w:sz w:val="20"/>
              </w:rPr>
              <w:t>Direct Install</w:t>
            </w:r>
          </w:p>
        </w:tc>
        <w:tc>
          <w:tcPr>
            <w:tcW w:w="3656" w:type="dxa"/>
            <w:gridSpan w:val="3"/>
            <w:tcBorders>
              <w:top w:val="single" w:sz="12" w:space="0" w:color="auto"/>
            </w:tcBorders>
            <w:shd w:val="pct20" w:color="auto" w:fill="auto"/>
            <w:tcMar>
              <w:top w:w="29" w:type="dxa"/>
              <w:left w:w="29" w:type="dxa"/>
              <w:bottom w:w="29" w:type="dxa"/>
              <w:right w:w="29" w:type="dxa"/>
            </w:tcMar>
          </w:tcPr>
          <w:p w:rsidR="00AE0DBE" w:rsidRPr="00A235C0" w:rsidRDefault="00AE0DBE" w:rsidP="00A235C0">
            <w:pPr>
              <w:keepNext/>
              <w:keepLines/>
              <w:spacing w:before="40" w:after="40" w:line="240" w:lineRule="auto"/>
              <w:jc w:val="center"/>
              <w:rPr>
                <w:b/>
                <w:sz w:val="20"/>
              </w:rPr>
            </w:pPr>
            <w:r w:rsidRPr="00A235C0">
              <w:rPr>
                <w:b/>
                <w:sz w:val="20"/>
              </w:rPr>
              <w:t>Downstream Prescriptive</w:t>
            </w:r>
          </w:p>
        </w:tc>
      </w:tr>
      <w:tr w:rsidR="00AE0DBE" w:rsidRPr="007D7B78" w:rsidTr="00A235C0">
        <w:tc>
          <w:tcPr>
            <w:tcW w:w="2279" w:type="dxa"/>
            <w:tcBorders>
              <w:top w:val="nil"/>
              <w:bottom w:val="single" w:sz="12" w:space="0" w:color="auto"/>
            </w:tcBorders>
            <w:shd w:val="pct20" w:color="auto" w:fill="auto"/>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b/>
                <w:sz w:val="20"/>
              </w:rPr>
            </w:pPr>
          </w:p>
        </w:tc>
        <w:tc>
          <w:tcPr>
            <w:tcW w:w="1218" w:type="dxa"/>
            <w:tcBorders>
              <w:bottom w:val="single" w:sz="12" w:space="0" w:color="auto"/>
            </w:tcBorders>
            <w:shd w:val="pct20" w:color="auto" w:fill="auto"/>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b/>
                <w:sz w:val="20"/>
              </w:rPr>
            </w:pPr>
            <w:r w:rsidRPr="00A235C0">
              <w:rPr>
                <w:b/>
                <w:sz w:val="20"/>
              </w:rPr>
              <w:t>Sample Size</w:t>
            </w:r>
          </w:p>
        </w:tc>
        <w:tc>
          <w:tcPr>
            <w:tcW w:w="1219" w:type="dxa"/>
            <w:tcBorders>
              <w:bottom w:val="single" w:sz="12" w:space="0" w:color="auto"/>
            </w:tcBorders>
            <w:shd w:val="pct20" w:color="auto" w:fill="auto"/>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b/>
                <w:sz w:val="20"/>
              </w:rPr>
            </w:pPr>
            <w:r w:rsidRPr="00A235C0">
              <w:rPr>
                <w:b/>
                <w:sz w:val="20"/>
              </w:rPr>
              <w:t>NTGR (kWh)</w:t>
            </w:r>
          </w:p>
        </w:tc>
        <w:tc>
          <w:tcPr>
            <w:tcW w:w="1218" w:type="dxa"/>
            <w:tcBorders>
              <w:bottom w:val="single" w:sz="12" w:space="0" w:color="auto"/>
            </w:tcBorders>
            <w:shd w:val="pct20" w:color="auto" w:fill="auto"/>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b/>
                <w:sz w:val="20"/>
              </w:rPr>
            </w:pPr>
            <w:r w:rsidRPr="00A235C0">
              <w:rPr>
                <w:b/>
                <w:sz w:val="20"/>
              </w:rPr>
              <w:t>NTGR   (kW)</w:t>
            </w:r>
          </w:p>
        </w:tc>
        <w:tc>
          <w:tcPr>
            <w:tcW w:w="1219" w:type="dxa"/>
            <w:tcBorders>
              <w:bottom w:val="single" w:sz="12" w:space="0" w:color="auto"/>
            </w:tcBorders>
            <w:shd w:val="pct20" w:color="auto" w:fill="auto"/>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b/>
                <w:sz w:val="20"/>
              </w:rPr>
            </w:pPr>
            <w:r w:rsidRPr="00A235C0">
              <w:rPr>
                <w:b/>
                <w:sz w:val="20"/>
              </w:rPr>
              <w:t>Sample Size</w:t>
            </w:r>
          </w:p>
        </w:tc>
        <w:tc>
          <w:tcPr>
            <w:tcW w:w="1218" w:type="dxa"/>
            <w:tcBorders>
              <w:bottom w:val="single" w:sz="12" w:space="0" w:color="auto"/>
            </w:tcBorders>
            <w:shd w:val="pct20" w:color="auto" w:fill="auto"/>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b/>
                <w:sz w:val="20"/>
              </w:rPr>
            </w:pPr>
            <w:r w:rsidRPr="00A235C0">
              <w:rPr>
                <w:b/>
                <w:sz w:val="20"/>
              </w:rPr>
              <w:t>NTGR (kWh)</w:t>
            </w:r>
          </w:p>
        </w:tc>
        <w:tc>
          <w:tcPr>
            <w:tcW w:w="1219" w:type="dxa"/>
            <w:tcBorders>
              <w:bottom w:val="single" w:sz="12" w:space="0" w:color="auto"/>
            </w:tcBorders>
            <w:shd w:val="pct20" w:color="auto" w:fill="auto"/>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b/>
                <w:sz w:val="20"/>
              </w:rPr>
            </w:pPr>
            <w:r w:rsidRPr="00A235C0">
              <w:rPr>
                <w:b/>
                <w:sz w:val="20"/>
              </w:rPr>
              <w:t>NTGR   (kW)</w:t>
            </w:r>
          </w:p>
        </w:tc>
      </w:tr>
      <w:tr w:rsidR="00AE0DBE" w:rsidRPr="007D7B78" w:rsidTr="00A235C0">
        <w:tc>
          <w:tcPr>
            <w:tcW w:w="2279" w:type="dxa"/>
            <w:tcBorders>
              <w:top w:val="single" w:sz="12" w:space="0" w:color="auto"/>
            </w:tcBorders>
            <w:tcMar>
              <w:top w:w="29" w:type="dxa"/>
              <w:left w:w="29" w:type="dxa"/>
              <w:bottom w:w="29" w:type="dxa"/>
              <w:right w:w="29" w:type="dxa"/>
            </w:tcMar>
            <w:vAlign w:val="bottom"/>
          </w:tcPr>
          <w:p w:rsidR="00AE0DBE" w:rsidRPr="00A235C0" w:rsidRDefault="00AE0DBE" w:rsidP="00A235C0">
            <w:pPr>
              <w:keepNext/>
              <w:keepLines/>
              <w:spacing w:before="40" w:after="40" w:line="240" w:lineRule="auto"/>
              <w:jc w:val="left"/>
              <w:rPr>
                <w:rFonts w:cs="Arial"/>
                <w:sz w:val="20"/>
                <w:szCs w:val="20"/>
              </w:rPr>
            </w:pPr>
            <w:r w:rsidRPr="00A235C0">
              <w:rPr>
                <w:rFonts w:cs="Arial"/>
                <w:sz w:val="20"/>
                <w:szCs w:val="20"/>
              </w:rPr>
              <w:t>All Other</w:t>
            </w:r>
          </w:p>
        </w:tc>
        <w:tc>
          <w:tcPr>
            <w:tcW w:w="1218" w:type="dxa"/>
            <w:tcBorders>
              <w:top w:val="single" w:sz="12" w:space="0" w:color="auto"/>
            </w:tcBorders>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112</w:t>
            </w:r>
          </w:p>
        </w:tc>
        <w:tc>
          <w:tcPr>
            <w:tcW w:w="1219" w:type="dxa"/>
            <w:tcBorders>
              <w:top w:val="single" w:sz="12" w:space="0" w:color="auto"/>
            </w:tcBorders>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0.93</w:t>
            </w:r>
          </w:p>
        </w:tc>
        <w:tc>
          <w:tcPr>
            <w:tcW w:w="1218" w:type="dxa"/>
            <w:tcBorders>
              <w:top w:val="single" w:sz="12" w:space="0" w:color="auto"/>
            </w:tcBorders>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0.93</w:t>
            </w:r>
          </w:p>
        </w:tc>
        <w:tc>
          <w:tcPr>
            <w:tcW w:w="1219" w:type="dxa"/>
            <w:tcBorders>
              <w:top w:val="single" w:sz="12" w:space="0" w:color="auto"/>
            </w:tcBorders>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168</w:t>
            </w:r>
          </w:p>
        </w:tc>
        <w:tc>
          <w:tcPr>
            <w:tcW w:w="1218" w:type="dxa"/>
            <w:tcBorders>
              <w:top w:val="single" w:sz="12" w:space="0" w:color="auto"/>
            </w:tcBorders>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0.75</w:t>
            </w:r>
          </w:p>
        </w:tc>
        <w:tc>
          <w:tcPr>
            <w:tcW w:w="1219" w:type="dxa"/>
            <w:tcBorders>
              <w:top w:val="single" w:sz="12" w:space="0" w:color="auto"/>
            </w:tcBorders>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0.75</w:t>
            </w:r>
          </w:p>
        </w:tc>
      </w:tr>
      <w:tr w:rsidR="00AE0DBE" w:rsidRPr="007D7B78" w:rsidTr="00A235C0">
        <w:tc>
          <w:tcPr>
            <w:tcW w:w="227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left"/>
              <w:rPr>
                <w:rFonts w:cs="Arial"/>
                <w:sz w:val="20"/>
                <w:szCs w:val="20"/>
              </w:rPr>
            </w:pPr>
            <w:r w:rsidRPr="00A235C0">
              <w:rPr>
                <w:rFonts w:cs="Arial"/>
                <w:sz w:val="20"/>
                <w:szCs w:val="20"/>
              </w:rPr>
              <w:t>Assembly</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55</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0.89</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0.89</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r>
      <w:tr w:rsidR="00AE0DBE" w:rsidRPr="007D7B78" w:rsidTr="00A235C0">
        <w:tc>
          <w:tcPr>
            <w:tcW w:w="227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left"/>
              <w:rPr>
                <w:rFonts w:cs="Arial"/>
                <w:sz w:val="20"/>
                <w:szCs w:val="20"/>
              </w:rPr>
            </w:pPr>
            <w:r w:rsidRPr="00A235C0">
              <w:rPr>
                <w:rFonts w:cs="Arial"/>
                <w:sz w:val="20"/>
                <w:szCs w:val="20"/>
              </w:rPr>
              <w:t>Grocery</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43</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0.87</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0.87</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r>
      <w:tr w:rsidR="00AE0DBE" w:rsidRPr="007D7B78" w:rsidTr="00A235C0">
        <w:tc>
          <w:tcPr>
            <w:tcW w:w="227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left"/>
              <w:rPr>
                <w:rFonts w:cs="Arial"/>
                <w:sz w:val="20"/>
                <w:szCs w:val="20"/>
              </w:rPr>
            </w:pPr>
            <w:r w:rsidRPr="00A235C0">
              <w:rPr>
                <w:rFonts w:cs="Arial"/>
                <w:sz w:val="20"/>
                <w:szCs w:val="20"/>
              </w:rPr>
              <w:t>Health/Medical - Nursing Home</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63</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0.85</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0.85</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r>
      <w:tr w:rsidR="00AE0DBE" w:rsidRPr="007D7B78" w:rsidTr="00A235C0">
        <w:tc>
          <w:tcPr>
            <w:tcW w:w="227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left"/>
              <w:rPr>
                <w:rFonts w:cs="Arial"/>
                <w:sz w:val="20"/>
                <w:szCs w:val="20"/>
              </w:rPr>
            </w:pPr>
            <w:r w:rsidRPr="00A235C0">
              <w:rPr>
                <w:rFonts w:cs="Arial"/>
                <w:sz w:val="20"/>
                <w:szCs w:val="20"/>
              </w:rPr>
              <w:t>Manufacturing - Light Industrial</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125</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0.91</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0.91</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127</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0.69</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0.70</w:t>
            </w:r>
          </w:p>
        </w:tc>
      </w:tr>
      <w:tr w:rsidR="00AE0DBE" w:rsidRPr="007D7B78" w:rsidTr="00A235C0">
        <w:tc>
          <w:tcPr>
            <w:tcW w:w="227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left"/>
              <w:rPr>
                <w:rFonts w:cs="Arial"/>
                <w:sz w:val="20"/>
                <w:szCs w:val="20"/>
              </w:rPr>
            </w:pPr>
            <w:r w:rsidRPr="00A235C0">
              <w:rPr>
                <w:rFonts w:cs="Arial"/>
                <w:sz w:val="20"/>
                <w:szCs w:val="20"/>
              </w:rPr>
              <w:t>Office - Large</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37</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0.93</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0.93</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58</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0.70</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0.70</w:t>
            </w:r>
          </w:p>
        </w:tc>
      </w:tr>
      <w:tr w:rsidR="00AE0DBE" w:rsidRPr="007D7B78" w:rsidTr="00A235C0">
        <w:tc>
          <w:tcPr>
            <w:tcW w:w="227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left"/>
              <w:rPr>
                <w:rFonts w:cs="Arial"/>
                <w:sz w:val="20"/>
                <w:szCs w:val="20"/>
              </w:rPr>
            </w:pPr>
            <w:r w:rsidRPr="00A235C0">
              <w:rPr>
                <w:rFonts w:cs="Arial"/>
                <w:sz w:val="20"/>
                <w:szCs w:val="20"/>
              </w:rPr>
              <w:t>Office - Small</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330</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0.89</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0.89</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35</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0.58</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0.58</w:t>
            </w:r>
          </w:p>
        </w:tc>
      </w:tr>
      <w:tr w:rsidR="00AE0DBE" w:rsidRPr="007D7B78" w:rsidTr="00A235C0">
        <w:tc>
          <w:tcPr>
            <w:tcW w:w="227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left"/>
              <w:rPr>
                <w:rFonts w:cs="Arial"/>
                <w:sz w:val="20"/>
                <w:szCs w:val="20"/>
              </w:rPr>
            </w:pPr>
            <w:r w:rsidRPr="00A235C0">
              <w:rPr>
                <w:rFonts w:cs="Arial"/>
                <w:sz w:val="20"/>
                <w:szCs w:val="20"/>
              </w:rPr>
              <w:t>Restaurant - Fast-Food</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37</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0.83</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0.82</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r>
      <w:tr w:rsidR="00AE0DBE" w:rsidRPr="007D7B78" w:rsidTr="00A235C0">
        <w:tc>
          <w:tcPr>
            <w:tcW w:w="227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left"/>
              <w:rPr>
                <w:rFonts w:cs="Arial"/>
                <w:sz w:val="20"/>
                <w:szCs w:val="20"/>
              </w:rPr>
            </w:pPr>
            <w:r w:rsidRPr="00A235C0">
              <w:rPr>
                <w:rFonts w:cs="Arial"/>
                <w:sz w:val="20"/>
                <w:szCs w:val="20"/>
              </w:rPr>
              <w:t>Retail - Single-Story Large</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109</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0.88</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0.88</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r>
      <w:tr w:rsidR="00AE0DBE" w:rsidRPr="007D7B78" w:rsidTr="00A235C0">
        <w:tc>
          <w:tcPr>
            <w:tcW w:w="227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left"/>
              <w:rPr>
                <w:rFonts w:cs="Arial"/>
                <w:sz w:val="20"/>
                <w:szCs w:val="20"/>
              </w:rPr>
            </w:pPr>
            <w:r w:rsidRPr="00A235C0">
              <w:rPr>
                <w:rFonts w:cs="Arial"/>
                <w:sz w:val="20"/>
                <w:szCs w:val="20"/>
              </w:rPr>
              <w:t>Retail - Small</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521</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0.88</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0.88</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44</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0.74</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0.74</w:t>
            </w:r>
          </w:p>
        </w:tc>
      </w:tr>
      <w:tr w:rsidR="00AE0DBE" w:rsidRPr="007D7B78" w:rsidTr="00A235C0">
        <w:tc>
          <w:tcPr>
            <w:tcW w:w="227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left"/>
              <w:rPr>
                <w:rFonts w:cs="Arial"/>
                <w:sz w:val="20"/>
                <w:szCs w:val="20"/>
              </w:rPr>
            </w:pPr>
            <w:r w:rsidRPr="00A235C0">
              <w:rPr>
                <w:rFonts w:cs="Arial"/>
                <w:sz w:val="20"/>
                <w:szCs w:val="20"/>
              </w:rPr>
              <w:t>Storage - Unconditioned</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47</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0.94</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0.94</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34</w:t>
            </w:r>
          </w:p>
        </w:tc>
        <w:tc>
          <w:tcPr>
            <w:tcW w:w="1218"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0.76</w:t>
            </w:r>
          </w:p>
        </w:tc>
        <w:tc>
          <w:tcPr>
            <w:tcW w:w="1219" w:type="dxa"/>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0.77</w:t>
            </w:r>
          </w:p>
        </w:tc>
      </w:tr>
      <w:tr w:rsidR="00AE0DBE" w:rsidRPr="007D7B78" w:rsidTr="00A235C0">
        <w:tc>
          <w:tcPr>
            <w:tcW w:w="2279" w:type="dxa"/>
            <w:tcBorders>
              <w:bottom w:val="single" w:sz="12" w:space="0" w:color="auto"/>
            </w:tcBorders>
            <w:tcMar>
              <w:top w:w="29" w:type="dxa"/>
              <w:left w:w="29" w:type="dxa"/>
              <w:bottom w:w="29" w:type="dxa"/>
              <w:right w:w="29" w:type="dxa"/>
            </w:tcMar>
            <w:vAlign w:val="bottom"/>
          </w:tcPr>
          <w:p w:rsidR="00AE0DBE" w:rsidRPr="00A235C0" w:rsidRDefault="00AE0DBE" w:rsidP="00A235C0">
            <w:pPr>
              <w:keepNext/>
              <w:keepLines/>
              <w:spacing w:before="40" w:after="40" w:line="240" w:lineRule="auto"/>
              <w:jc w:val="left"/>
              <w:rPr>
                <w:rFonts w:cs="Arial"/>
                <w:sz w:val="20"/>
                <w:szCs w:val="20"/>
              </w:rPr>
            </w:pPr>
            <w:r w:rsidRPr="00A235C0">
              <w:rPr>
                <w:rFonts w:cs="Arial"/>
                <w:sz w:val="20"/>
                <w:szCs w:val="20"/>
              </w:rPr>
              <w:t>Storage - Conditioned</w:t>
            </w:r>
          </w:p>
        </w:tc>
        <w:tc>
          <w:tcPr>
            <w:tcW w:w="1218" w:type="dxa"/>
            <w:tcBorders>
              <w:bottom w:val="single" w:sz="12" w:space="0" w:color="auto"/>
            </w:tcBorders>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c>
          <w:tcPr>
            <w:tcW w:w="1219" w:type="dxa"/>
            <w:tcBorders>
              <w:bottom w:val="single" w:sz="12" w:space="0" w:color="auto"/>
            </w:tcBorders>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c>
          <w:tcPr>
            <w:tcW w:w="1218" w:type="dxa"/>
            <w:tcBorders>
              <w:bottom w:val="single" w:sz="12" w:space="0" w:color="auto"/>
            </w:tcBorders>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p>
        </w:tc>
        <w:tc>
          <w:tcPr>
            <w:tcW w:w="1219" w:type="dxa"/>
            <w:tcBorders>
              <w:bottom w:val="single" w:sz="12" w:space="0" w:color="auto"/>
            </w:tcBorders>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55</w:t>
            </w:r>
          </w:p>
        </w:tc>
        <w:tc>
          <w:tcPr>
            <w:tcW w:w="1218" w:type="dxa"/>
            <w:tcBorders>
              <w:bottom w:val="single" w:sz="12" w:space="0" w:color="auto"/>
            </w:tcBorders>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0.77</w:t>
            </w:r>
          </w:p>
        </w:tc>
        <w:tc>
          <w:tcPr>
            <w:tcW w:w="1219" w:type="dxa"/>
            <w:tcBorders>
              <w:bottom w:val="single" w:sz="12" w:space="0" w:color="auto"/>
            </w:tcBorders>
            <w:tcMar>
              <w:top w:w="29" w:type="dxa"/>
              <w:left w:w="29" w:type="dxa"/>
              <w:bottom w:w="29" w:type="dxa"/>
              <w:right w:w="29" w:type="dxa"/>
            </w:tcMar>
            <w:vAlign w:val="bottom"/>
          </w:tcPr>
          <w:p w:rsidR="00AE0DBE" w:rsidRPr="00A235C0" w:rsidRDefault="00AE0DBE" w:rsidP="00A235C0">
            <w:pPr>
              <w:keepNext/>
              <w:keepLines/>
              <w:spacing w:before="40" w:after="40" w:line="240" w:lineRule="auto"/>
              <w:jc w:val="center"/>
              <w:rPr>
                <w:rFonts w:cs="Arial"/>
                <w:sz w:val="20"/>
                <w:szCs w:val="20"/>
              </w:rPr>
            </w:pPr>
            <w:r w:rsidRPr="00A235C0">
              <w:rPr>
                <w:rFonts w:cs="Arial"/>
                <w:sz w:val="20"/>
                <w:szCs w:val="20"/>
              </w:rPr>
              <w:t>0.77</w:t>
            </w:r>
          </w:p>
        </w:tc>
      </w:tr>
    </w:tbl>
    <w:p w:rsidR="00AE0DBE" w:rsidRDefault="00AE0DBE" w:rsidP="00B253DF"/>
    <w:p w:rsidR="00AE0DBE" w:rsidRDefault="00AE0DBE" w:rsidP="00D27108">
      <w:pPr>
        <w:spacing w:after="130"/>
        <w:rPr>
          <w:rFonts w:ascii="Arial" w:hAnsi="Arial" w:cs="Arial"/>
          <w:b/>
          <w:bCs/>
          <w:sz w:val="28"/>
          <w:szCs w:val="28"/>
        </w:rPr>
      </w:pPr>
    </w:p>
    <w:sectPr w:rsidR="00AE0DBE" w:rsidSect="00B253DF">
      <w:headerReference w:type="default" r:id="rId7"/>
      <w:footerReference w:type="default" r:id="rId8"/>
      <w:headerReference w:type="first" r:id="rId9"/>
      <w:footerReference w:type="first" r:id="rId10"/>
      <w:pgSz w:w="12240" w:h="15840" w:code="1"/>
      <w:pgMar w:top="1440" w:right="1440" w:bottom="1440" w:left="1440" w:header="720" w:footer="720" w:gutter="0"/>
      <w:pgNumType w:start="1"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0DBE" w:rsidRDefault="00AE0DBE" w:rsidP="00B253DF">
      <w:pPr>
        <w:spacing w:after="0" w:line="240" w:lineRule="auto"/>
      </w:pPr>
      <w:r>
        <w:separator/>
      </w:r>
    </w:p>
  </w:endnote>
  <w:endnote w:type="continuationSeparator" w:id="0">
    <w:p w:rsidR="00AE0DBE" w:rsidRDefault="00AE0DBE" w:rsidP="00B253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DBE" w:rsidRDefault="00AE0DBE" w:rsidP="005104F1">
    <w:pPr>
      <w:pStyle w:val="Footer"/>
      <w:spacing w:line="240" w:lineRule="auto"/>
    </w:pPr>
    <w:r>
      <w:t>Itron, Inc.</w:t>
    </w:r>
    <w:r>
      <w:tab/>
    </w:r>
    <w:fldSimple w:instr=" PAGE   \* MERGEFORMAT ">
      <w:r w:rsidR="007D664F">
        <w:rPr>
          <w:noProof/>
        </w:rPr>
        <w:t>7-7</w:t>
      </w:r>
    </w:fldSimple>
    <w:r>
      <w:tab/>
      <w:t>Updates: NTGR-</w:t>
    </w:r>
    <w:r w:rsidRPr="00A95949">
      <w:t>Non-</w:t>
    </w:r>
    <w:r w:rsidRPr="00052DB1">
      <w:t>Res. Lighting</w:t>
    </w:r>
    <w:r w:rsidRPr="00A95949">
      <w:t xml:space="preserve"> Measures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DBE" w:rsidRPr="00A95949" w:rsidRDefault="00AE0DBE" w:rsidP="00052DB1">
    <w:pPr>
      <w:pStyle w:val="Footer"/>
      <w:tabs>
        <w:tab w:val="clear" w:pos="4680"/>
        <w:tab w:val="center" w:pos="4320"/>
      </w:tabs>
      <w:spacing w:line="240" w:lineRule="auto"/>
    </w:pPr>
    <w:r>
      <w:t>Itron, Inc.</w:t>
    </w:r>
    <w:r>
      <w:tab/>
    </w:r>
    <w:fldSimple w:instr=" PAGE   \* MERGEFORMAT ">
      <w:r w:rsidR="007D664F">
        <w:rPr>
          <w:noProof/>
        </w:rPr>
        <w:t>7-1</w:t>
      </w:r>
    </w:fldSimple>
    <w:r>
      <w:tab/>
      <w:t>Updates: NTGR-</w:t>
    </w:r>
    <w:r w:rsidRPr="00A95949">
      <w:t>Non-</w:t>
    </w:r>
    <w:r w:rsidRPr="00052DB1">
      <w:t>Res. Lighting</w:t>
    </w:r>
    <w:r w:rsidRPr="00A95949">
      <w:t xml:space="preserve"> Measures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0DBE" w:rsidRDefault="00AE0DBE" w:rsidP="00B253DF">
      <w:pPr>
        <w:spacing w:after="0" w:line="240" w:lineRule="auto"/>
      </w:pPr>
      <w:r>
        <w:separator/>
      </w:r>
    </w:p>
  </w:footnote>
  <w:footnote w:type="continuationSeparator" w:id="0">
    <w:p w:rsidR="00AE0DBE" w:rsidRDefault="00AE0DBE" w:rsidP="00B253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DBE" w:rsidRDefault="00AE0DBE" w:rsidP="00F703B4">
    <w:pPr>
      <w:pStyle w:val="Header"/>
      <w:tabs>
        <w:tab w:val="center" w:pos="4680"/>
        <w:tab w:val="left" w:pos="5751"/>
      </w:tabs>
    </w:pPr>
    <w:r>
      <w:t>Database for Energy Efficiency Resources: 2011 Update</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DBE" w:rsidRDefault="00AE0DBE" w:rsidP="002C2D11">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0747692"/>
    <w:lvl w:ilvl="0">
      <w:start w:val="1"/>
      <w:numFmt w:val="bullet"/>
      <w:lvlText w:val="─"/>
      <w:lvlJc w:val="left"/>
      <w:pPr>
        <w:ind w:left="1800" w:hanging="360"/>
      </w:pPr>
      <w:rPr>
        <w:rFonts w:ascii="Times New Roman" w:hAnsi="Times New Roman" w:hint="default"/>
        <w:sz w:val="24"/>
      </w:rPr>
    </w:lvl>
  </w:abstractNum>
  <w:abstractNum w:abstractNumId="1">
    <w:nsid w:val="FFFFFF89"/>
    <w:multiLevelType w:val="singleLevel"/>
    <w:tmpl w:val="C12E9E58"/>
    <w:lvl w:ilvl="0">
      <w:start w:val="1"/>
      <w:numFmt w:val="bullet"/>
      <w:lvlText w:val=""/>
      <w:lvlJc w:val="left"/>
      <w:pPr>
        <w:tabs>
          <w:tab w:val="num" w:pos="360"/>
        </w:tabs>
        <w:ind w:left="360" w:hanging="360"/>
      </w:pPr>
      <w:rPr>
        <w:rFonts w:ascii="Symbol" w:hAnsi="Symbol" w:hint="default"/>
      </w:rPr>
    </w:lvl>
  </w:abstractNum>
  <w:abstractNum w:abstractNumId="2">
    <w:nsid w:val="FFFFFFFB"/>
    <w:multiLevelType w:val="multilevel"/>
    <w:tmpl w:val="59908212"/>
    <w:lvl w:ilvl="0">
      <w:start w:val="7"/>
      <w:numFmt w:val="decimal"/>
      <w:pStyle w:val="Heading1"/>
      <w:suff w:val="nothing"/>
      <w:lvlText w:val="%1"/>
      <w:lvlJc w:val="left"/>
      <w:pPr>
        <w:ind w:left="0" w:firstLine="0"/>
      </w:pPr>
      <w:rPr>
        <w:rFonts w:ascii="Arial" w:hAnsi="Arial" w:cs="Times New Roman" w:hint="default"/>
        <w:b/>
        <w:i/>
        <w:sz w:val="72"/>
      </w:rPr>
    </w:lvl>
    <w:lvl w:ilvl="1">
      <w:start w:val="1"/>
      <w:numFmt w:val="decimal"/>
      <w:pStyle w:val="Heading2"/>
      <w:suff w:val="nothing"/>
      <w:lvlText w:val="%1.%2  "/>
      <w:lvlJc w:val="left"/>
      <w:pPr>
        <w:ind w:left="0" w:firstLine="0"/>
      </w:pPr>
      <w:rPr>
        <w:rFonts w:ascii="Arial" w:hAnsi="Arial" w:cs="Times New Roman" w:hint="default"/>
        <w:b/>
        <w:i w:val="0"/>
        <w:sz w:val="28"/>
      </w:rPr>
    </w:lvl>
    <w:lvl w:ilvl="2">
      <w:start w:val="1"/>
      <w:numFmt w:val="decimal"/>
      <w:pStyle w:val="Heading3"/>
      <w:suff w:val="nothing"/>
      <w:lvlText w:val="%1.%2.%3  "/>
      <w:lvlJc w:val="left"/>
      <w:pPr>
        <w:ind w:left="0" w:firstLine="0"/>
      </w:pPr>
      <w:rPr>
        <w:rFonts w:cs="Times New Roman" w:hint="default"/>
      </w:rPr>
    </w:lvl>
    <w:lvl w:ilvl="3">
      <w:start w:val="1"/>
      <w:numFmt w:val="none"/>
      <w:pStyle w:val="Heading4"/>
      <w:suff w:val="nothing"/>
      <w:lvlText w:val=""/>
      <w:lvlJc w:val="left"/>
      <w:pPr>
        <w:ind w:left="0" w:firstLine="0"/>
      </w:pPr>
      <w:rPr>
        <w:rFonts w:cs="Times New Roman" w:hint="default"/>
      </w:rPr>
    </w:lvl>
    <w:lvl w:ilvl="4">
      <w:start w:val="1"/>
      <w:numFmt w:val="none"/>
      <w:pStyle w:val="Heading5"/>
      <w:suff w:val="nothing"/>
      <w:lvlText w:val=""/>
      <w:lvlJc w:val="left"/>
      <w:pPr>
        <w:ind w:left="0" w:firstLine="0"/>
      </w:pPr>
      <w:rPr>
        <w:rFonts w:cs="Times New Roman" w:hint="default"/>
      </w:rPr>
    </w:lvl>
    <w:lvl w:ilvl="5">
      <w:start w:val="1"/>
      <w:numFmt w:val="none"/>
      <w:pStyle w:val="Heading6"/>
      <w:suff w:val="nothing"/>
      <w:lvlText w:val=""/>
      <w:lvlJc w:val="left"/>
      <w:pPr>
        <w:ind w:left="0" w:firstLine="0"/>
      </w:pPr>
      <w:rPr>
        <w:rFonts w:cs="Times New Roman" w:hint="default"/>
      </w:rPr>
    </w:lvl>
    <w:lvl w:ilvl="6">
      <w:start w:val="1"/>
      <w:numFmt w:val="none"/>
      <w:pStyle w:val="Heading7"/>
      <w:suff w:val="nothing"/>
      <w:lvlText w:val=""/>
      <w:lvlJc w:val="left"/>
      <w:pPr>
        <w:ind w:left="0" w:firstLine="0"/>
      </w:pPr>
      <w:rPr>
        <w:rFonts w:cs="Times New Roman" w:hint="default"/>
      </w:rPr>
    </w:lvl>
    <w:lvl w:ilvl="7">
      <w:start w:val="1"/>
      <w:numFmt w:val="none"/>
      <w:pStyle w:val="Heading8"/>
      <w:suff w:val="nothing"/>
      <w:lvlText w:val=""/>
      <w:lvlJc w:val="left"/>
      <w:pPr>
        <w:ind w:left="0" w:firstLine="0"/>
      </w:pPr>
      <w:rPr>
        <w:rFonts w:cs="Times New Roman" w:hint="default"/>
      </w:rPr>
    </w:lvl>
    <w:lvl w:ilvl="8">
      <w:start w:val="1"/>
      <w:numFmt w:val="none"/>
      <w:pStyle w:val="Heading9"/>
      <w:suff w:val="nothing"/>
      <w:lvlText w:val=""/>
      <w:lvlJc w:val="left"/>
      <w:pPr>
        <w:ind w:left="0" w:firstLine="0"/>
      </w:pPr>
      <w:rPr>
        <w:rFonts w:cs="Times New Roman" w:hint="default"/>
      </w:rPr>
    </w:lvl>
  </w:abstractNum>
  <w:abstractNum w:abstractNumId="3">
    <w:nsid w:val="17710BA3"/>
    <w:multiLevelType w:val="multilevel"/>
    <w:tmpl w:val="67F0C0C4"/>
    <w:numStyleLink w:val="CnAListBullets"/>
  </w:abstractNum>
  <w:abstractNum w:abstractNumId="4">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hint="default"/>
        <w:b/>
        <w:sz w:val="24"/>
      </w:rPr>
    </w:lvl>
    <w:lvl w:ilvl="2">
      <w:start w:val="1"/>
      <w:numFmt w:val="bullet"/>
      <w:lvlText w:val="-"/>
      <w:lvlJc w:val="left"/>
      <w:pPr>
        <w:ind w:left="1584" w:hanging="432"/>
      </w:pPr>
      <w:rPr>
        <w:rFonts w:ascii="Times New Roman" w:hAnsi="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5">
    <w:nsid w:val="3033526B"/>
    <w:multiLevelType w:val="multilevel"/>
    <w:tmpl w:val="67F0C0C4"/>
    <w:numStyleLink w:val="CnAListBullets"/>
  </w:abstractNum>
  <w:abstractNum w:abstractNumId="6">
    <w:nsid w:val="49B734A2"/>
    <w:multiLevelType w:val="multilevel"/>
    <w:tmpl w:val="67F0C0C4"/>
    <w:numStyleLink w:val="CnAListBullets"/>
  </w:abstractNum>
  <w:abstractNum w:abstractNumId="7">
    <w:nsid w:val="4E5D18A1"/>
    <w:multiLevelType w:val="multilevel"/>
    <w:tmpl w:val="1216588C"/>
    <w:lvl w:ilvl="0">
      <w:start w:val="1"/>
      <w:numFmt w:val="decimal"/>
      <w:lvlText w:val="%1."/>
      <w:lvlJc w:val="left"/>
      <w:pPr>
        <w:ind w:left="720" w:hanging="432"/>
      </w:pPr>
      <w:rPr>
        <w:rFonts w:ascii="Times New Roman" w:hAnsi="Times New Roman" w:cs="Times New Roman" w:hint="default"/>
        <w:sz w:val="24"/>
      </w:rPr>
    </w:lvl>
    <w:lvl w:ilvl="1">
      <w:start w:val="1"/>
      <w:numFmt w:val="bullet"/>
      <w:lvlText w:val="─"/>
      <w:lvlJc w:val="left"/>
      <w:pPr>
        <w:ind w:left="1152" w:hanging="432"/>
      </w:pPr>
      <w:rPr>
        <w:rFonts w:ascii="Times New Roman" w:hAnsi="Times New Roman" w:hint="default"/>
        <w:b/>
        <w:sz w:val="24"/>
      </w:rPr>
    </w:lvl>
    <w:lvl w:ilvl="2">
      <w:start w:val="1"/>
      <w:numFmt w:val="bullet"/>
      <w:lvlText w:val="-"/>
      <w:lvlJc w:val="left"/>
      <w:pPr>
        <w:ind w:left="1584" w:hanging="432"/>
      </w:pPr>
      <w:rPr>
        <w:rFonts w:ascii="Times New Roman" w:hAnsi="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8">
    <w:nsid w:val="6ABC0982"/>
    <w:multiLevelType w:val="multilevel"/>
    <w:tmpl w:val="04090021"/>
    <w:styleLink w:val="Itron"/>
    <w:lvl w:ilvl="0">
      <w:start w:val="1"/>
      <w:numFmt w:val="bullet"/>
      <w:pStyle w:val="ListBullet2"/>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hint="default"/>
        <w:b/>
        <w:sz w:val="24"/>
      </w:rPr>
    </w:lvl>
    <w:lvl w:ilvl="2">
      <w:start w:val="1"/>
      <w:numFmt w:val="bullet"/>
      <w:lvlText w:val="-"/>
      <w:lvlJc w:val="left"/>
      <w:pPr>
        <w:ind w:left="2520" w:hanging="360"/>
      </w:pPr>
      <w:rPr>
        <w:rFonts w:ascii="Times New Roman" w:hAnsi="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abstractNum w:abstractNumId="9">
    <w:nsid w:val="795871C3"/>
    <w:multiLevelType w:val="multilevel"/>
    <w:tmpl w:val="67F0C0C4"/>
    <w:numStyleLink w:val="CnAListBullets"/>
  </w:abstractNum>
  <w:num w:numId="1">
    <w:abstractNumId w:val="1"/>
  </w:num>
  <w:num w:numId="2">
    <w:abstractNumId w:val="0"/>
  </w:num>
  <w:num w:numId="3">
    <w:abstractNumId w:val="1"/>
  </w:num>
  <w:num w:numId="4">
    <w:abstractNumId w:val="0"/>
  </w:num>
  <w:num w:numId="5">
    <w:abstractNumId w:val="2"/>
  </w:num>
  <w:num w:numId="6">
    <w:abstractNumId w:val="8"/>
  </w:num>
  <w:num w:numId="7">
    <w:abstractNumId w:val="4"/>
  </w:num>
  <w:num w:numId="8">
    <w:abstractNumId w:val="0"/>
  </w:num>
  <w:num w:numId="9">
    <w:abstractNumId w:val="2"/>
  </w:num>
  <w:num w:numId="10">
    <w:abstractNumId w:val="5"/>
  </w:num>
  <w:num w:numId="11">
    <w:abstractNumId w:val="7"/>
  </w:num>
  <w:num w:numId="12">
    <w:abstractNumId w:val="6"/>
  </w:num>
  <w:num w:numId="13">
    <w:abstractNumId w:val="3"/>
  </w:num>
  <w:num w:numId="14">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footnotePr>
    <w:footnote w:id="-1"/>
    <w:footnote w:id="0"/>
  </w:footnotePr>
  <w:endnotePr>
    <w:endnote w:id="-1"/>
    <w:endnote w:id="0"/>
  </w:endnotePr>
  <w:compat/>
  <w:rsids>
    <w:rsidRoot w:val="00B253DF"/>
    <w:rsid w:val="00017D18"/>
    <w:rsid w:val="00022F17"/>
    <w:rsid w:val="0004507A"/>
    <w:rsid w:val="00052DB1"/>
    <w:rsid w:val="0007312F"/>
    <w:rsid w:val="00075645"/>
    <w:rsid w:val="00077287"/>
    <w:rsid w:val="00096103"/>
    <w:rsid w:val="00096A50"/>
    <w:rsid w:val="000B1D6F"/>
    <w:rsid w:val="000B2BEB"/>
    <w:rsid w:val="000B731D"/>
    <w:rsid w:val="000B7C5E"/>
    <w:rsid w:val="000C6631"/>
    <w:rsid w:val="000D688E"/>
    <w:rsid w:val="000E539F"/>
    <w:rsid w:val="0011319A"/>
    <w:rsid w:val="00150886"/>
    <w:rsid w:val="001535E7"/>
    <w:rsid w:val="00157EA9"/>
    <w:rsid w:val="001630F9"/>
    <w:rsid w:val="00166A00"/>
    <w:rsid w:val="001700C4"/>
    <w:rsid w:val="001712B1"/>
    <w:rsid w:val="00183C36"/>
    <w:rsid w:val="00195DCD"/>
    <w:rsid w:val="00197A2E"/>
    <w:rsid w:val="001B177F"/>
    <w:rsid w:val="001C005E"/>
    <w:rsid w:val="001E0716"/>
    <w:rsid w:val="001E32AE"/>
    <w:rsid w:val="001E7BE2"/>
    <w:rsid w:val="00201B90"/>
    <w:rsid w:val="00205160"/>
    <w:rsid w:val="00215DAF"/>
    <w:rsid w:val="0022041F"/>
    <w:rsid w:val="00230BF7"/>
    <w:rsid w:val="00231EB1"/>
    <w:rsid w:val="00246847"/>
    <w:rsid w:val="00247593"/>
    <w:rsid w:val="00260180"/>
    <w:rsid w:val="002663FA"/>
    <w:rsid w:val="00275841"/>
    <w:rsid w:val="00280927"/>
    <w:rsid w:val="00282B7D"/>
    <w:rsid w:val="00290A70"/>
    <w:rsid w:val="00292F27"/>
    <w:rsid w:val="00296A51"/>
    <w:rsid w:val="002A49FE"/>
    <w:rsid w:val="002B7BCD"/>
    <w:rsid w:val="002C2D11"/>
    <w:rsid w:val="002C7AFB"/>
    <w:rsid w:val="002F12A2"/>
    <w:rsid w:val="002F1BA8"/>
    <w:rsid w:val="00315C37"/>
    <w:rsid w:val="00317ED5"/>
    <w:rsid w:val="003240BC"/>
    <w:rsid w:val="003255E0"/>
    <w:rsid w:val="00343A91"/>
    <w:rsid w:val="00346291"/>
    <w:rsid w:val="00385E2D"/>
    <w:rsid w:val="0039240E"/>
    <w:rsid w:val="003A3041"/>
    <w:rsid w:val="003B15C1"/>
    <w:rsid w:val="003B2EC3"/>
    <w:rsid w:val="003E1694"/>
    <w:rsid w:val="003E48B8"/>
    <w:rsid w:val="003E6290"/>
    <w:rsid w:val="003F505C"/>
    <w:rsid w:val="003F678D"/>
    <w:rsid w:val="00400DF8"/>
    <w:rsid w:val="00415F0C"/>
    <w:rsid w:val="00416B4F"/>
    <w:rsid w:val="00421E26"/>
    <w:rsid w:val="00423113"/>
    <w:rsid w:val="004255FC"/>
    <w:rsid w:val="00427454"/>
    <w:rsid w:val="0043551E"/>
    <w:rsid w:val="004362F1"/>
    <w:rsid w:val="00437726"/>
    <w:rsid w:val="004409B2"/>
    <w:rsid w:val="00455856"/>
    <w:rsid w:val="00467A6A"/>
    <w:rsid w:val="004712CA"/>
    <w:rsid w:val="0047130C"/>
    <w:rsid w:val="004730D3"/>
    <w:rsid w:val="004819BB"/>
    <w:rsid w:val="00485477"/>
    <w:rsid w:val="00496826"/>
    <w:rsid w:val="004B0FCC"/>
    <w:rsid w:val="004B3E4B"/>
    <w:rsid w:val="004B46F8"/>
    <w:rsid w:val="004C7495"/>
    <w:rsid w:val="004E0AD6"/>
    <w:rsid w:val="004F0721"/>
    <w:rsid w:val="004F6455"/>
    <w:rsid w:val="0050194C"/>
    <w:rsid w:val="005104F1"/>
    <w:rsid w:val="00521A5F"/>
    <w:rsid w:val="00521A9C"/>
    <w:rsid w:val="00536075"/>
    <w:rsid w:val="005528D8"/>
    <w:rsid w:val="00552C8F"/>
    <w:rsid w:val="0055720C"/>
    <w:rsid w:val="00557A79"/>
    <w:rsid w:val="00565425"/>
    <w:rsid w:val="00565D8A"/>
    <w:rsid w:val="00573DEC"/>
    <w:rsid w:val="005806C7"/>
    <w:rsid w:val="00580BAD"/>
    <w:rsid w:val="00590B5F"/>
    <w:rsid w:val="0059308D"/>
    <w:rsid w:val="005939CC"/>
    <w:rsid w:val="00594938"/>
    <w:rsid w:val="005C6E80"/>
    <w:rsid w:val="005D5666"/>
    <w:rsid w:val="005D596C"/>
    <w:rsid w:val="005F3293"/>
    <w:rsid w:val="00603EEC"/>
    <w:rsid w:val="00605B38"/>
    <w:rsid w:val="006232E8"/>
    <w:rsid w:val="00641033"/>
    <w:rsid w:val="00657787"/>
    <w:rsid w:val="006663E0"/>
    <w:rsid w:val="00682A57"/>
    <w:rsid w:val="00690154"/>
    <w:rsid w:val="00692A3B"/>
    <w:rsid w:val="0069539E"/>
    <w:rsid w:val="006A0903"/>
    <w:rsid w:val="006B52C8"/>
    <w:rsid w:val="006B7229"/>
    <w:rsid w:val="006C0097"/>
    <w:rsid w:val="006C080F"/>
    <w:rsid w:val="00706638"/>
    <w:rsid w:val="007113FC"/>
    <w:rsid w:val="007141BD"/>
    <w:rsid w:val="00715736"/>
    <w:rsid w:val="007316AA"/>
    <w:rsid w:val="00754D3E"/>
    <w:rsid w:val="00763661"/>
    <w:rsid w:val="00765582"/>
    <w:rsid w:val="00775E7E"/>
    <w:rsid w:val="00777A7C"/>
    <w:rsid w:val="00783EDA"/>
    <w:rsid w:val="00790A7E"/>
    <w:rsid w:val="007A1EC9"/>
    <w:rsid w:val="007B1B87"/>
    <w:rsid w:val="007B4132"/>
    <w:rsid w:val="007C6F54"/>
    <w:rsid w:val="007D5D84"/>
    <w:rsid w:val="007D664F"/>
    <w:rsid w:val="007D7B78"/>
    <w:rsid w:val="0081057C"/>
    <w:rsid w:val="008111FE"/>
    <w:rsid w:val="00811304"/>
    <w:rsid w:val="00817DEE"/>
    <w:rsid w:val="00826D05"/>
    <w:rsid w:val="008472D8"/>
    <w:rsid w:val="00857BBF"/>
    <w:rsid w:val="008646A2"/>
    <w:rsid w:val="00874650"/>
    <w:rsid w:val="00875025"/>
    <w:rsid w:val="00877628"/>
    <w:rsid w:val="008873D0"/>
    <w:rsid w:val="0089278A"/>
    <w:rsid w:val="0089429D"/>
    <w:rsid w:val="008A271C"/>
    <w:rsid w:val="008C341B"/>
    <w:rsid w:val="008C3DA3"/>
    <w:rsid w:val="008D7823"/>
    <w:rsid w:val="008E2E63"/>
    <w:rsid w:val="008E45F8"/>
    <w:rsid w:val="008E5288"/>
    <w:rsid w:val="008F6F18"/>
    <w:rsid w:val="0091065E"/>
    <w:rsid w:val="00922DFE"/>
    <w:rsid w:val="009558AE"/>
    <w:rsid w:val="009813C2"/>
    <w:rsid w:val="00985139"/>
    <w:rsid w:val="00990F68"/>
    <w:rsid w:val="009A0C16"/>
    <w:rsid w:val="009A1F8C"/>
    <w:rsid w:val="009A7392"/>
    <w:rsid w:val="009B0D60"/>
    <w:rsid w:val="009C3564"/>
    <w:rsid w:val="009C57AF"/>
    <w:rsid w:val="009D0319"/>
    <w:rsid w:val="009D290C"/>
    <w:rsid w:val="009F1EEF"/>
    <w:rsid w:val="00A12B0C"/>
    <w:rsid w:val="00A12C80"/>
    <w:rsid w:val="00A179CB"/>
    <w:rsid w:val="00A235C0"/>
    <w:rsid w:val="00A240A6"/>
    <w:rsid w:val="00A31B8F"/>
    <w:rsid w:val="00A50622"/>
    <w:rsid w:val="00A55320"/>
    <w:rsid w:val="00A715DD"/>
    <w:rsid w:val="00A80487"/>
    <w:rsid w:val="00A95949"/>
    <w:rsid w:val="00AA75FC"/>
    <w:rsid w:val="00AE0DBE"/>
    <w:rsid w:val="00AF77F2"/>
    <w:rsid w:val="00B05AD1"/>
    <w:rsid w:val="00B21A11"/>
    <w:rsid w:val="00B2276F"/>
    <w:rsid w:val="00B253DF"/>
    <w:rsid w:val="00B30FAF"/>
    <w:rsid w:val="00B332C5"/>
    <w:rsid w:val="00B35DD3"/>
    <w:rsid w:val="00B44016"/>
    <w:rsid w:val="00B47148"/>
    <w:rsid w:val="00B66B8D"/>
    <w:rsid w:val="00B821A0"/>
    <w:rsid w:val="00BA106C"/>
    <w:rsid w:val="00BD431D"/>
    <w:rsid w:val="00BE68D1"/>
    <w:rsid w:val="00BF4CDF"/>
    <w:rsid w:val="00BF6708"/>
    <w:rsid w:val="00C030F3"/>
    <w:rsid w:val="00C06EA5"/>
    <w:rsid w:val="00C07173"/>
    <w:rsid w:val="00C40245"/>
    <w:rsid w:val="00C414C8"/>
    <w:rsid w:val="00C47AFD"/>
    <w:rsid w:val="00C6518C"/>
    <w:rsid w:val="00C8408E"/>
    <w:rsid w:val="00C85E22"/>
    <w:rsid w:val="00C87E1B"/>
    <w:rsid w:val="00C90C1B"/>
    <w:rsid w:val="00C96282"/>
    <w:rsid w:val="00CA4418"/>
    <w:rsid w:val="00CA4CA6"/>
    <w:rsid w:val="00CA75C7"/>
    <w:rsid w:val="00CC1E01"/>
    <w:rsid w:val="00CD4193"/>
    <w:rsid w:val="00CF4860"/>
    <w:rsid w:val="00D21F89"/>
    <w:rsid w:val="00D25B3B"/>
    <w:rsid w:val="00D27108"/>
    <w:rsid w:val="00D51169"/>
    <w:rsid w:val="00D5135F"/>
    <w:rsid w:val="00D55120"/>
    <w:rsid w:val="00D66518"/>
    <w:rsid w:val="00D72BF2"/>
    <w:rsid w:val="00D833E2"/>
    <w:rsid w:val="00D842FF"/>
    <w:rsid w:val="00D84D87"/>
    <w:rsid w:val="00DA04B7"/>
    <w:rsid w:val="00DB3C51"/>
    <w:rsid w:val="00DC1564"/>
    <w:rsid w:val="00DC1DD9"/>
    <w:rsid w:val="00DD3165"/>
    <w:rsid w:val="00DE632E"/>
    <w:rsid w:val="00DF07F7"/>
    <w:rsid w:val="00E06E33"/>
    <w:rsid w:val="00E251FF"/>
    <w:rsid w:val="00E37D92"/>
    <w:rsid w:val="00E44BF3"/>
    <w:rsid w:val="00E450CF"/>
    <w:rsid w:val="00E560B6"/>
    <w:rsid w:val="00E67904"/>
    <w:rsid w:val="00E70440"/>
    <w:rsid w:val="00E86B02"/>
    <w:rsid w:val="00E86B64"/>
    <w:rsid w:val="00ED1F77"/>
    <w:rsid w:val="00ED70B2"/>
    <w:rsid w:val="00F126C3"/>
    <w:rsid w:val="00F2093D"/>
    <w:rsid w:val="00F21DB5"/>
    <w:rsid w:val="00F30170"/>
    <w:rsid w:val="00F3759B"/>
    <w:rsid w:val="00F42A2D"/>
    <w:rsid w:val="00F53022"/>
    <w:rsid w:val="00F60F5F"/>
    <w:rsid w:val="00F6117C"/>
    <w:rsid w:val="00F634D6"/>
    <w:rsid w:val="00F70106"/>
    <w:rsid w:val="00F703B4"/>
    <w:rsid w:val="00F803F5"/>
    <w:rsid w:val="00F82CB4"/>
    <w:rsid w:val="00F87DBB"/>
    <w:rsid w:val="00F935DA"/>
    <w:rsid w:val="00F9623A"/>
    <w:rsid w:val="00FA27C5"/>
    <w:rsid w:val="00FE7689"/>
    <w:rsid w:val="00FF5474"/>
    <w:rsid w:val="00FF66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semiHidden="0" w:uiPriority="0" w:unhideWhenUsed="0" w:qFormat="1"/>
    <w:lsdException w:name="table of figures" w:locked="1" w:semiHidden="0" w:uiPriority="0" w:unhideWhenUsed="0"/>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886"/>
    <w:pPr>
      <w:spacing w:after="280" w:line="320" w:lineRule="atLeast"/>
      <w:jc w:val="both"/>
    </w:pPr>
    <w:rPr>
      <w:rFonts w:ascii="Times New Roman" w:hAnsi="Times New Roman"/>
      <w:sz w:val="24"/>
      <w:szCs w:val="24"/>
    </w:rPr>
  </w:style>
  <w:style w:type="paragraph" w:styleId="Heading1">
    <w:name w:val="heading 1"/>
    <w:basedOn w:val="Normal"/>
    <w:next w:val="Normal"/>
    <w:link w:val="Heading1Char"/>
    <w:uiPriority w:val="99"/>
    <w:qFormat/>
    <w:rsid w:val="00DE632E"/>
    <w:pPr>
      <w:keepNext/>
      <w:numPr>
        <w:numId w:val="5"/>
      </w:numPr>
      <w:pBdr>
        <w:bottom w:val="single" w:sz="12" w:space="26" w:color="auto"/>
      </w:pBdr>
      <w:spacing w:after="240"/>
      <w:jc w:val="left"/>
      <w:outlineLvl w:val="0"/>
    </w:pPr>
    <w:rPr>
      <w:rFonts w:ascii="Arial" w:hAnsi="Arial" w:cs="Arial"/>
      <w:b/>
      <w:bCs/>
      <w:sz w:val="36"/>
      <w:szCs w:val="36"/>
    </w:rPr>
  </w:style>
  <w:style w:type="paragraph" w:styleId="Heading2">
    <w:name w:val="heading 2"/>
    <w:basedOn w:val="Normal"/>
    <w:next w:val="Normal"/>
    <w:link w:val="Heading2Char"/>
    <w:uiPriority w:val="99"/>
    <w:qFormat/>
    <w:rsid w:val="00DE632E"/>
    <w:pPr>
      <w:keepNext/>
      <w:numPr>
        <w:ilvl w:val="1"/>
        <w:numId w:val="5"/>
      </w:numPr>
      <w:spacing w:before="480" w:after="180"/>
      <w:jc w:val="left"/>
      <w:outlineLvl w:val="1"/>
    </w:pPr>
    <w:rPr>
      <w:rFonts w:ascii="Arial" w:hAnsi="Arial" w:cs="Arial"/>
      <w:b/>
      <w:bCs/>
      <w:sz w:val="28"/>
      <w:szCs w:val="28"/>
    </w:rPr>
  </w:style>
  <w:style w:type="paragraph" w:styleId="Heading3">
    <w:name w:val="heading 3"/>
    <w:basedOn w:val="Normal"/>
    <w:next w:val="Normal"/>
    <w:link w:val="Heading3Char"/>
    <w:autoRedefine/>
    <w:uiPriority w:val="99"/>
    <w:qFormat/>
    <w:rsid w:val="00DE632E"/>
    <w:pPr>
      <w:keepNext/>
      <w:numPr>
        <w:ilvl w:val="2"/>
        <w:numId w:val="5"/>
      </w:numPr>
      <w:spacing w:after="180" w:line="240" w:lineRule="auto"/>
      <w:jc w:val="left"/>
      <w:outlineLvl w:val="2"/>
    </w:pPr>
    <w:rPr>
      <w:rFonts w:ascii="Arial" w:hAnsi="Arial" w:cs="Arial"/>
      <w:b/>
      <w:bCs/>
      <w:i/>
      <w:iCs/>
    </w:rPr>
  </w:style>
  <w:style w:type="paragraph" w:styleId="Heading4">
    <w:name w:val="heading 4"/>
    <w:basedOn w:val="Normal"/>
    <w:next w:val="Normal"/>
    <w:link w:val="Heading4Char"/>
    <w:uiPriority w:val="99"/>
    <w:qFormat/>
    <w:rsid w:val="00DE632E"/>
    <w:pPr>
      <w:keepNext/>
      <w:keepLines/>
      <w:numPr>
        <w:ilvl w:val="3"/>
        <w:numId w:val="5"/>
      </w:numPr>
      <w:spacing w:after="180"/>
      <w:jc w:val="left"/>
      <w:outlineLvl w:val="3"/>
    </w:pPr>
    <w:rPr>
      <w:b/>
      <w:i/>
      <w:iCs/>
      <w:u w:val="single"/>
    </w:rPr>
  </w:style>
  <w:style w:type="paragraph" w:styleId="Heading5">
    <w:name w:val="heading 5"/>
    <w:basedOn w:val="Normal"/>
    <w:next w:val="Normal"/>
    <w:link w:val="Heading5Char"/>
    <w:uiPriority w:val="99"/>
    <w:qFormat/>
    <w:rsid w:val="00DE632E"/>
    <w:pPr>
      <w:keepNext/>
      <w:keepLines/>
      <w:numPr>
        <w:ilvl w:val="4"/>
        <w:numId w:val="5"/>
      </w:numPr>
      <w:outlineLvl w:val="4"/>
    </w:pPr>
    <w:rPr>
      <w:rFonts w:cs="Arial"/>
      <w:bCs/>
      <w:i/>
      <w:u w:val="single"/>
    </w:rPr>
  </w:style>
  <w:style w:type="paragraph" w:styleId="Heading6">
    <w:name w:val="heading 6"/>
    <w:basedOn w:val="Heading1"/>
    <w:next w:val="Normal"/>
    <w:link w:val="Heading6Char"/>
    <w:uiPriority w:val="99"/>
    <w:qFormat/>
    <w:rsid w:val="00D842FF"/>
    <w:pPr>
      <w:numPr>
        <w:ilvl w:val="5"/>
      </w:numPr>
      <w:pBdr>
        <w:bottom w:val="none" w:sz="0" w:space="0" w:color="auto"/>
      </w:pBdr>
      <w:tabs>
        <w:tab w:val="left" w:pos="2880"/>
      </w:tabs>
      <w:spacing w:after="120"/>
      <w:outlineLvl w:val="5"/>
    </w:pPr>
    <w:rPr>
      <w:rFonts w:ascii="Times New Roman" w:hAnsi="Times New Roman"/>
      <w:sz w:val="24"/>
      <w:szCs w:val="24"/>
    </w:rPr>
  </w:style>
  <w:style w:type="paragraph" w:styleId="Heading7">
    <w:name w:val="heading 7"/>
    <w:basedOn w:val="Heading1"/>
    <w:next w:val="Normal"/>
    <w:link w:val="Heading7Char"/>
    <w:uiPriority w:val="99"/>
    <w:qFormat/>
    <w:rsid w:val="00D842FF"/>
    <w:pPr>
      <w:numPr>
        <w:ilvl w:val="6"/>
      </w:numPr>
      <w:tabs>
        <w:tab w:val="left" w:pos="3456"/>
      </w:tabs>
      <w:outlineLvl w:val="6"/>
    </w:pPr>
  </w:style>
  <w:style w:type="paragraph" w:styleId="Heading8">
    <w:name w:val="heading 8"/>
    <w:basedOn w:val="Normal"/>
    <w:next w:val="Normal"/>
    <w:link w:val="Heading8Char"/>
    <w:uiPriority w:val="99"/>
    <w:qFormat/>
    <w:rsid w:val="00DE632E"/>
    <w:pPr>
      <w:numPr>
        <w:ilvl w:val="7"/>
        <w:numId w:val="5"/>
      </w:numPr>
      <w:outlineLvl w:val="7"/>
    </w:pPr>
    <w:rPr>
      <w:rFonts w:ascii="Tms Rmn" w:hAnsi="Tms Rmn"/>
      <w:i/>
      <w:iCs/>
      <w:sz w:val="20"/>
      <w:szCs w:val="20"/>
    </w:rPr>
  </w:style>
  <w:style w:type="paragraph" w:styleId="Heading9">
    <w:name w:val="heading 9"/>
    <w:basedOn w:val="Normal"/>
    <w:next w:val="Normal"/>
    <w:link w:val="Heading9Char"/>
    <w:uiPriority w:val="99"/>
    <w:qFormat/>
    <w:rsid w:val="00DE632E"/>
    <w:pPr>
      <w:numPr>
        <w:ilvl w:val="8"/>
        <w:numId w:val="5"/>
      </w:numPr>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1778A"/>
    <w:rPr>
      <w:rFonts w:ascii="Arial" w:hAnsi="Arial" w:cs="Arial"/>
      <w:b/>
      <w:bCs/>
      <w:sz w:val="36"/>
      <w:szCs w:val="36"/>
    </w:rPr>
  </w:style>
  <w:style w:type="character" w:customStyle="1" w:styleId="Heading2Char">
    <w:name w:val="Heading 2 Char"/>
    <w:basedOn w:val="DefaultParagraphFont"/>
    <w:link w:val="Heading2"/>
    <w:uiPriority w:val="99"/>
    <w:rsid w:val="0081778A"/>
    <w:rPr>
      <w:rFonts w:ascii="Arial" w:hAnsi="Arial" w:cs="Arial"/>
      <w:b/>
      <w:bCs/>
      <w:sz w:val="28"/>
      <w:szCs w:val="28"/>
    </w:rPr>
  </w:style>
  <w:style w:type="character" w:customStyle="1" w:styleId="Heading3Char">
    <w:name w:val="Heading 3 Char"/>
    <w:basedOn w:val="DefaultParagraphFont"/>
    <w:link w:val="Heading3"/>
    <w:uiPriority w:val="99"/>
    <w:rsid w:val="0081778A"/>
    <w:rPr>
      <w:rFonts w:ascii="Arial" w:hAnsi="Arial" w:cs="Arial"/>
      <w:b/>
      <w:bCs/>
      <w:i/>
      <w:iCs/>
      <w:sz w:val="24"/>
      <w:szCs w:val="24"/>
    </w:rPr>
  </w:style>
  <w:style w:type="character" w:customStyle="1" w:styleId="Heading4Char">
    <w:name w:val="Heading 4 Char"/>
    <w:basedOn w:val="DefaultParagraphFont"/>
    <w:link w:val="Heading4"/>
    <w:uiPriority w:val="99"/>
    <w:rsid w:val="0081778A"/>
    <w:rPr>
      <w:rFonts w:ascii="Times New Roman" w:hAnsi="Times New Roman"/>
      <w:b/>
      <w:i/>
      <w:iCs/>
      <w:sz w:val="24"/>
      <w:szCs w:val="24"/>
      <w:u w:val="single"/>
    </w:rPr>
  </w:style>
  <w:style w:type="character" w:customStyle="1" w:styleId="Heading5Char">
    <w:name w:val="Heading 5 Char"/>
    <w:basedOn w:val="DefaultParagraphFont"/>
    <w:link w:val="Heading5"/>
    <w:uiPriority w:val="99"/>
    <w:rsid w:val="0081778A"/>
    <w:rPr>
      <w:rFonts w:ascii="Times New Roman" w:hAnsi="Times New Roman" w:cs="Arial"/>
      <w:bCs/>
      <w:i/>
      <w:sz w:val="24"/>
      <w:szCs w:val="24"/>
      <w:u w:val="single"/>
    </w:rPr>
  </w:style>
  <w:style w:type="character" w:customStyle="1" w:styleId="Heading6Char">
    <w:name w:val="Heading 6 Char"/>
    <w:basedOn w:val="DefaultParagraphFont"/>
    <w:link w:val="Heading6"/>
    <w:uiPriority w:val="9"/>
    <w:semiHidden/>
    <w:rsid w:val="0081778A"/>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81778A"/>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9"/>
    <w:rsid w:val="0081778A"/>
    <w:rPr>
      <w:i/>
      <w:iCs/>
      <w:sz w:val="20"/>
      <w:szCs w:val="20"/>
    </w:rPr>
  </w:style>
  <w:style w:type="character" w:customStyle="1" w:styleId="Heading9Char">
    <w:name w:val="Heading 9 Char"/>
    <w:basedOn w:val="DefaultParagraphFont"/>
    <w:link w:val="Heading9"/>
    <w:uiPriority w:val="99"/>
    <w:rsid w:val="0081778A"/>
    <w:rPr>
      <w:i/>
      <w:iCs/>
      <w:sz w:val="20"/>
      <w:szCs w:val="20"/>
    </w:rPr>
  </w:style>
  <w:style w:type="paragraph" w:customStyle="1" w:styleId="pJ">
    <w:name w:val="pJ"/>
    <w:next w:val="Normal"/>
    <w:uiPriority w:val="99"/>
    <w:rsid w:val="00D842FF"/>
    <w:pPr>
      <w:spacing w:after="130" w:line="320" w:lineRule="atLeast"/>
      <w:ind w:left="720" w:hanging="432"/>
      <w:jc w:val="both"/>
    </w:pPr>
    <w:rPr>
      <w:rFonts w:ascii="Times New Roman" w:hAnsi="Times New Roman"/>
      <w:sz w:val="24"/>
      <w:szCs w:val="24"/>
    </w:rPr>
  </w:style>
  <w:style w:type="paragraph" w:customStyle="1" w:styleId="pB">
    <w:name w:val="pB"/>
    <w:basedOn w:val="Normal"/>
    <w:uiPriority w:val="99"/>
    <w:rsid w:val="0011319A"/>
    <w:pPr>
      <w:tabs>
        <w:tab w:val="left" w:pos="720"/>
        <w:tab w:val="left" w:pos="1080"/>
      </w:tabs>
      <w:ind w:right="288"/>
    </w:pPr>
  </w:style>
  <w:style w:type="paragraph" w:customStyle="1" w:styleId="pF">
    <w:name w:val="pF"/>
    <w:uiPriority w:val="99"/>
    <w:rsid w:val="0011319A"/>
    <w:pPr>
      <w:spacing w:after="130" w:line="320" w:lineRule="atLeast"/>
      <w:ind w:left="720" w:hanging="432"/>
      <w:jc w:val="both"/>
    </w:pPr>
    <w:rPr>
      <w:rFonts w:ascii="Times New Roman" w:hAnsi="Times New Roman"/>
      <w:sz w:val="24"/>
      <w:szCs w:val="24"/>
    </w:rPr>
  </w:style>
  <w:style w:type="paragraph" w:customStyle="1" w:styleId="pS">
    <w:name w:val="pS"/>
    <w:uiPriority w:val="99"/>
    <w:rsid w:val="00D842FF"/>
    <w:pPr>
      <w:tabs>
        <w:tab w:val="left" w:pos="720"/>
        <w:tab w:val="left" w:pos="1080"/>
      </w:tabs>
      <w:spacing w:after="130" w:line="320" w:lineRule="atLeast"/>
      <w:ind w:left="720" w:right="288" w:hanging="432"/>
      <w:jc w:val="both"/>
    </w:pPr>
    <w:rPr>
      <w:rFonts w:ascii="Times New Roman" w:hAnsi="Times New Roman"/>
      <w:sz w:val="24"/>
      <w:szCs w:val="24"/>
    </w:rPr>
  </w:style>
  <w:style w:type="paragraph" w:customStyle="1" w:styleId="pD">
    <w:name w:val="pD"/>
    <w:basedOn w:val="pF"/>
    <w:uiPriority w:val="99"/>
    <w:rsid w:val="00D842FF"/>
    <w:pPr>
      <w:tabs>
        <w:tab w:val="left" w:pos="1152"/>
      </w:tabs>
      <w:spacing w:before="60" w:line="280" w:lineRule="atLeast"/>
      <w:ind w:left="1152" w:right="288"/>
    </w:pPr>
  </w:style>
  <w:style w:type="paragraph" w:customStyle="1" w:styleId="pE">
    <w:name w:val="pE"/>
    <w:basedOn w:val="pD"/>
    <w:uiPriority w:val="99"/>
    <w:rsid w:val="00D842FF"/>
    <w:pPr>
      <w:tabs>
        <w:tab w:val="clear" w:pos="1152"/>
      </w:tabs>
      <w:spacing w:line="240" w:lineRule="atLeast"/>
      <w:ind w:left="1440" w:hanging="288"/>
    </w:pPr>
  </w:style>
  <w:style w:type="paragraph" w:styleId="Header">
    <w:name w:val="header"/>
    <w:basedOn w:val="pF"/>
    <w:link w:val="HeaderChar"/>
    <w:uiPriority w:val="99"/>
    <w:rsid w:val="009D0319"/>
    <w:pPr>
      <w:pBdr>
        <w:bottom w:val="single" w:sz="12" w:space="1" w:color="auto"/>
      </w:pBdr>
      <w:tabs>
        <w:tab w:val="right" w:pos="9000"/>
      </w:tabs>
      <w:spacing w:after="0"/>
      <w:ind w:left="0" w:firstLine="0"/>
      <w:jc w:val="center"/>
    </w:pPr>
    <w:rPr>
      <w:rFonts w:ascii="Tms Rmn" w:hAnsi="Tms Rmn"/>
      <w:i/>
      <w:iCs/>
    </w:rPr>
  </w:style>
  <w:style w:type="character" w:customStyle="1" w:styleId="HeaderChar">
    <w:name w:val="Header Char"/>
    <w:basedOn w:val="DefaultParagraphFont"/>
    <w:link w:val="Header"/>
    <w:uiPriority w:val="99"/>
    <w:semiHidden/>
    <w:rsid w:val="0081778A"/>
    <w:rPr>
      <w:rFonts w:ascii="Times New Roman" w:hAnsi="Times New Roman"/>
      <w:sz w:val="24"/>
      <w:szCs w:val="24"/>
    </w:rPr>
  </w:style>
  <w:style w:type="paragraph" w:styleId="Footer">
    <w:name w:val="footer"/>
    <w:basedOn w:val="Header"/>
    <w:link w:val="FooterChar"/>
    <w:uiPriority w:val="99"/>
    <w:rsid w:val="0047130C"/>
    <w:pPr>
      <w:pBdr>
        <w:top w:val="single" w:sz="12" w:space="1" w:color="auto"/>
        <w:bottom w:val="none" w:sz="0" w:space="0" w:color="auto"/>
      </w:pBdr>
      <w:tabs>
        <w:tab w:val="clear" w:pos="9000"/>
        <w:tab w:val="center" w:pos="4680"/>
        <w:tab w:val="right" w:pos="9360"/>
      </w:tabs>
      <w:jc w:val="left"/>
    </w:pPr>
  </w:style>
  <w:style w:type="character" w:customStyle="1" w:styleId="FooterChar">
    <w:name w:val="Footer Char"/>
    <w:basedOn w:val="DefaultParagraphFont"/>
    <w:link w:val="Footer"/>
    <w:uiPriority w:val="99"/>
    <w:semiHidden/>
    <w:rsid w:val="0081778A"/>
    <w:rPr>
      <w:rFonts w:ascii="Times New Roman" w:hAnsi="Times New Roman"/>
      <w:sz w:val="24"/>
      <w:szCs w:val="24"/>
    </w:rPr>
  </w:style>
  <w:style w:type="character" w:styleId="FootnoteReference">
    <w:name w:val="footnote reference"/>
    <w:basedOn w:val="DefaultParagraphFont"/>
    <w:uiPriority w:val="99"/>
    <w:rsid w:val="00D842FF"/>
    <w:rPr>
      <w:rFonts w:cs="Times New Roman"/>
      <w:position w:val="6"/>
      <w:sz w:val="16"/>
      <w:szCs w:val="16"/>
    </w:rPr>
  </w:style>
  <w:style w:type="paragraph" w:styleId="FootnoteText">
    <w:name w:val="footnote text"/>
    <w:basedOn w:val="Normal"/>
    <w:link w:val="FootnoteTextChar"/>
    <w:autoRedefine/>
    <w:uiPriority w:val="99"/>
    <w:rsid w:val="008646A2"/>
    <w:pPr>
      <w:tabs>
        <w:tab w:val="left" w:pos="288"/>
      </w:tabs>
      <w:spacing w:after="60" w:line="240" w:lineRule="atLeast"/>
      <w:ind w:left="288" w:hanging="288"/>
    </w:pPr>
    <w:rPr>
      <w:rFonts w:ascii="Tms Rmn" w:hAnsi="Tms Rmn"/>
      <w:sz w:val="20"/>
      <w:szCs w:val="20"/>
    </w:rPr>
  </w:style>
  <w:style w:type="character" w:customStyle="1" w:styleId="FootnoteTextChar">
    <w:name w:val="Footnote Text Char"/>
    <w:basedOn w:val="DefaultParagraphFont"/>
    <w:link w:val="FootnoteText"/>
    <w:uiPriority w:val="99"/>
    <w:locked/>
    <w:rsid w:val="008646A2"/>
    <w:rPr>
      <w:rFonts w:ascii="Tms Rmn" w:hAnsi="Tms Rmn" w:cs="Times New Roman"/>
    </w:rPr>
  </w:style>
  <w:style w:type="paragraph" w:styleId="Index1">
    <w:name w:val="index 1"/>
    <w:basedOn w:val="Normal"/>
    <w:next w:val="Normal"/>
    <w:uiPriority w:val="99"/>
    <w:rsid w:val="00D842FF"/>
    <w:rPr>
      <w:rFonts w:ascii="Tms Rmn" w:hAnsi="Tms Rmn"/>
    </w:rPr>
  </w:style>
  <w:style w:type="paragraph" w:styleId="Index2">
    <w:name w:val="index 2"/>
    <w:basedOn w:val="Normal"/>
    <w:next w:val="Normal"/>
    <w:uiPriority w:val="99"/>
    <w:rsid w:val="00D842FF"/>
    <w:pPr>
      <w:ind w:left="360"/>
    </w:pPr>
    <w:rPr>
      <w:rFonts w:ascii="Tms Rmn" w:hAnsi="Tms Rmn"/>
    </w:rPr>
  </w:style>
  <w:style w:type="paragraph" w:styleId="Index3">
    <w:name w:val="index 3"/>
    <w:basedOn w:val="Normal"/>
    <w:next w:val="Normal"/>
    <w:uiPriority w:val="99"/>
    <w:rsid w:val="00D842FF"/>
    <w:rPr>
      <w:rFonts w:ascii="Tms Rmn" w:hAnsi="Tms Rmn"/>
    </w:rPr>
  </w:style>
  <w:style w:type="paragraph" w:styleId="Index4">
    <w:name w:val="index 4"/>
    <w:basedOn w:val="Normal"/>
    <w:next w:val="Normal"/>
    <w:uiPriority w:val="99"/>
    <w:rsid w:val="00D842FF"/>
    <w:rPr>
      <w:rFonts w:ascii="Tms Rmn" w:hAnsi="Tms Rmn"/>
    </w:rPr>
  </w:style>
  <w:style w:type="paragraph" w:styleId="Index5">
    <w:name w:val="index 5"/>
    <w:basedOn w:val="Normal"/>
    <w:next w:val="Normal"/>
    <w:uiPriority w:val="99"/>
    <w:rsid w:val="00D842FF"/>
    <w:pPr>
      <w:ind w:left="1440"/>
    </w:pPr>
    <w:rPr>
      <w:rFonts w:ascii="Tms Rmn" w:hAnsi="Tms Rmn"/>
    </w:rPr>
  </w:style>
  <w:style w:type="paragraph" w:styleId="Index6">
    <w:name w:val="index 6"/>
    <w:basedOn w:val="Normal"/>
    <w:next w:val="Normal"/>
    <w:uiPriority w:val="99"/>
    <w:rsid w:val="00D842FF"/>
    <w:pPr>
      <w:ind w:left="1800"/>
    </w:pPr>
    <w:rPr>
      <w:rFonts w:ascii="Tms Rmn" w:hAnsi="Tms Rmn"/>
    </w:rPr>
  </w:style>
  <w:style w:type="paragraph" w:styleId="Index7">
    <w:name w:val="index 7"/>
    <w:basedOn w:val="Normal"/>
    <w:next w:val="Normal"/>
    <w:uiPriority w:val="99"/>
    <w:rsid w:val="00D842FF"/>
    <w:pPr>
      <w:ind w:left="2160"/>
    </w:pPr>
    <w:rPr>
      <w:rFonts w:ascii="Tms Rmn" w:hAnsi="Tms Rmn"/>
    </w:rPr>
  </w:style>
  <w:style w:type="paragraph" w:styleId="IndexHeading">
    <w:name w:val="index heading"/>
    <w:basedOn w:val="Normal"/>
    <w:next w:val="Index1"/>
    <w:uiPriority w:val="99"/>
    <w:rsid w:val="00D842FF"/>
    <w:rPr>
      <w:rFonts w:ascii="Tms Rmn" w:hAnsi="Tms Rmn"/>
    </w:rPr>
  </w:style>
  <w:style w:type="character" w:styleId="LineNumber">
    <w:name w:val="line number"/>
    <w:basedOn w:val="DefaultParagraphFont"/>
    <w:uiPriority w:val="99"/>
    <w:rsid w:val="00D842FF"/>
    <w:rPr>
      <w:rFonts w:cs="Times New Roman"/>
    </w:rPr>
  </w:style>
  <w:style w:type="paragraph" w:customStyle="1" w:styleId="pA">
    <w:name w:val="pA"/>
    <w:uiPriority w:val="99"/>
    <w:rsid w:val="0011319A"/>
    <w:pPr>
      <w:spacing w:after="130" w:line="130" w:lineRule="exact"/>
      <w:ind w:left="720" w:hanging="432"/>
      <w:jc w:val="both"/>
    </w:pPr>
    <w:rPr>
      <w:rFonts w:ascii="Times New Roman" w:hAnsi="Times New Roman"/>
      <w:sz w:val="24"/>
      <w:szCs w:val="24"/>
    </w:rPr>
  </w:style>
  <w:style w:type="paragraph" w:customStyle="1" w:styleId="pG">
    <w:name w:val="pG"/>
    <w:basedOn w:val="Normal"/>
    <w:uiPriority w:val="99"/>
    <w:rsid w:val="008E2E63"/>
    <w:pPr>
      <w:keepNext/>
      <w:spacing w:after="130"/>
      <w:ind w:left="720" w:hanging="432"/>
    </w:pPr>
    <w:rPr>
      <w:rFonts w:ascii="Arial" w:hAnsi="Arial" w:cs="Arial"/>
      <w:b/>
      <w:bCs/>
    </w:rPr>
  </w:style>
  <w:style w:type="paragraph" w:customStyle="1" w:styleId="pT">
    <w:name w:val="pT"/>
    <w:basedOn w:val="Normal"/>
    <w:uiPriority w:val="99"/>
    <w:rsid w:val="008E2E63"/>
    <w:pPr>
      <w:keepNext/>
      <w:spacing w:after="130"/>
      <w:ind w:left="720" w:hanging="432"/>
    </w:pPr>
    <w:rPr>
      <w:rFonts w:ascii="Arial" w:hAnsi="Arial" w:cs="Arial"/>
      <w:b/>
      <w:bCs/>
    </w:rPr>
  </w:style>
  <w:style w:type="paragraph" w:customStyle="1" w:styleId="pX">
    <w:name w:val="pX"/>
    <w:basedOn w:val="pF"/>
    <w:uiPriority w:val="99"/>
    <w:rsid w:val="00D842FF"/>
    <w:pPr>
      <w:spacing w:line="240" w:lineRule="atLeast"/>
    </w:pPr>
  </w:style>
  <w:style w:type="paragraph" w:customStyle="1" w:styleId="TitlePage">
    <w:name w:val="Title Page"/>
    <w:basedOn w:val="Normal"/>
    <w:uiPriority w:val="99"/>
    <w:rsid w:val="008E2E63"/>
    <w:pPr>
      <w:spacing w:after="130"/>
      <w:ind w:left="1440" w:right="1440" w:hanging="432"/>
      <w:jc w:val="center"/>
    </w:pPr>
    <w:rPr>
      <w:rFonts w:ascii="Arial" w:hAnsi="Arial" w:cs="Arial"/>
      <w:b/>
      <w:bCs/>
      <w:sz w:val="36"/>
      <w:szCs w:val="36"/>
    </w:rPr>
  </w:style>
  <w:style w:type="paragraph" w:styleId="TOC1">
    <w:name w:val="toc 1"/>
    <w:basedOn w:val="pF"/>
    <w:next w:val="Normal"/>
    <w:uiPriority w:val="99"/>
    <w:rsid w:val="00E37D92"/>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99"/>
    <w:rsid w:val="00E37D92"/>
    <w:pPr>
      <w:spacing w:before="0" w:after="0"/>
      <w:ind w:left="864" w:right="720" w:hanging="432"/>
    </w:pPr>
    <w:rPr>
      <w:b w:val="0"/>
      <w:bCs w:val="0"/>
    </w:rPr>
  </w:style>
  <w:style w:type="paragraph" w:styleId="TOC3">
    <w:name w:val="toc 3"/>
    <w:basedOn w:val="TOC1"/>
    <w:uiPriority w:val="99"/>
    <w:rsid w:val="00E37D92"/>
    <w:pPr>
      <w:spacing w:before="0" w:after="0"/>
      <w:ind w:left="1296" w:right="720" w:hanging="432"/>
    </w:pPr>
    <w:rPr>
      <w:b w:val="0"/>
      <w:bCs w:val="0"/>
      <w:i/>
      <w:iCs/>
      <w:sz w:val="20"/>
      <w:szCs w:val="20"/>
    </w:rPr>
  </w:style>
  <w:style w:type="paragraph" w:styleId="TOC4">
    <w:name w:val="toc 4"/>
    <w:basedOn w:val="TOC1"/>
    <w:uiPriority w:val="99"/>
    <w:rsid w:val="00D842FF"/>
    <w:pPr>
      <w:spacing w:before="0" w:after="0"/>
    </w:pPr>
    <w:rPr>
      <w:rFonts w:cs="Times New Roman"/>
      <w:b w:val="0"/>
      <w:bCs w:val="0"/>
      <w:sz w:val="20"/>
      <w:szCs w:val="20"/>
    </w:rPr>
  </w:style>
  <w:style w:type="paragraph" w:styleId="TOC5">
    <w:name w:val="toc 5"/>
    <w:basedOn w:val="TOC4"/>
    <w:next w:val="Normal"/>
    <w:uiPriority w:val="99"/>
    <w:rsid w:val="00D842FF"/>
  </w:style>
  <w:style w:type="paragraph" w:styleId="EnvelopeAddress">
    <w:name w:val="envelope address"/>
    <w:basedOn w:val="Normal"/>
    <w:uiPriority w:val="99"/>
    <w:rsid w:val="00D842FF"/>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uiPriority w:val="99"/>
    <w:rsid w:val="00D842FF"/>
    <w:pPr>
      <w:keepNext/>
      <w:spacing w:before="480" w:after="360" w:line="720" w:lineRule="exact"/>
    </w:pPr>
    <w:rPr>
      <w:rFonts w:ascii="Arial" w:hAnsi="Arial" w:cs="Arial"/>
      <w:b/>
      <w:bCs/>
      <w:i/>
      <w:iCs/>
      <w:sz w:val="72"/>
      <w:szCs w:val="72"/>
    </w:rPr>
  </w:style>
  <w:style w:type="paragraph" w:styleId="ListBullet">
    <w:name w:val="List Bullet"/>
    <w:basedOn w:val="Normal"/>
    <w:uiPriority w:val="99"/>
    <w:rsid w:val="00D842FF"/>
    <w:pPr>
      <w:ind w:left="360"/>
    </w:pPr>
  </w:style>
  <w:style w:type="paragraph" w:customStyle="1" w:styleId="pA2">
    <w:name w:val="pA2"/>
    <w:basedOn w:val="pA"/>
    <w:next w:val="pA"/>
    <w:uiPriority w:val="99"/>
    <w:rsid w:val="0011319A"/>
  </w:style>
  <w:style w:type="paragraph" w:styleId="Caption">
    <w:name w:val="caption"/>
    <w:basedOn w:val="Normal"/>
    <w:next w:val="Normal"/>
    <w:autoRedefine/>
    <w:uiPriority w:val="99"/>
    <w:qFormat/>
    <w:rsid w:val="00296A51"/>
    <w:pPr>
      <w:keepNext/>
      <w:keepLines/>
      <w:spacing w:before="120" w:after="120"/>
      <w:jc w:val="left"/>
    </w:pPr>
    <w:rPr>
      <w:rFonts w:ascii="Arial" w:hAnsi="Arial" w:cs="Arial"/>
      <w:b/>
      <w:bCs/>
    </w:rPr>
  </w:style>
  <w:style w:type="paragraph" w:customStyle="1" w:styleId="resumeparagraph">
    <w:name w:val="resume paragraph"/>
    <w:uiPriority w:val="99"/>
    <w:rsid w:val="00D842FF"/>
    <w:pPr>
      <w:spacing w:before="100" w:after="130" w:line="240" w:lineRule="exact"/>
      <w:ind w:left="720" w:hanging="288"/>
      <w:jc w:val="both"/>
    </w:pPr>
    <w:rPr>
      <w:rFonts w:ascii="Times New Roman" w:hAnsi="Times New Roman"/>
      <w:sz w:val="24"/>
      <w:szCs w:val="24"/>
    </w:rPr>
  </w:style>
  <w:style w:type="paragraph" w:customStyle="1" w:styleId="Headline">
    <w:name w:val="Headline"/>
    <w:basedOn w:val="Normal"/>
    <w:uiPriority w:val="99"/>
    <w:rsid w:val="00D842FF"/>
    <w:pPr>
      <w:spacing w:line="240" w:lineRule="auto"/>
    </w:pPr>
    <w:rPr>
      <w:b/>
      <w:bCs/>
      <w:sz w:val="36"/>
      <w:szCs w:val="36"/>
    </w:rPr>
  </w:style>
  <w:style w:type="paragraph" w:customStyle="1" w:styleId="projtitle">
    <w:name w:val="projtitle"/>
    <w:basedOn w:val="Normal"/>
    <w:next w:val="For"/>
    <w:uiPriority w:val="99"/>
    <w:rsid w:val="00D842FF"/>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uiPriority w:val="99"/>
    <w:rsid w:val="00D842FF"/>
    <w:pPr>
      <w:tabs>
        <w:tab w:val="clear" w:pos="720"/>
        <w:tab w:val="clear" w:pos="1080"/>
        <w:tab w:val="left" w:pos="-1170"/>
      </w:tabs>
      <w:spacing w:after="240"/>
    </w:pPr>
  </w:style>
  <w:style w:type="paragraph" w:customStyle="1" w:styleId="For">
    <w:name w:val="For"/>
    <w:basedOn w:val="Normal"/>
    <w:next w:val="Contact"/>
    <w:uiPriority w:val="99"/>
    <w:rsid w:val="00D842FF"/>
    <w:pPr>
      <w:keepNext/>
      <w:keepLines/>
      <w:tabs>
        <w:tab w:val="left" w:pos="720"/>
        <w:tab w:val="left" w:pos="1080"/>
      </w:tabs>
      <w:spacing w:line="280" w:lineRule="exact"/>
      <w:ind w:left="1152" w:right="288"/>
    </w:pPr>
  </w:style>
  <w:style w:type="paragraph" w:customStyle="1" w:styleId="Contact">
    <w:name w:val="Contact"/>
    <w:basedOn w:val="Normal"/>
    <w:next w:val="summary"/>
    <w:uiPriority w:val="99"/>
    <w:rsid w:val="00D842FF"/>
    <w:pPr>
      <w:keepNext/>
      <w:keepLines/>
      <w:tabs>
        <w:tab w:val="left" w:pos="720"/>
        <w:tab w:val="left" w:pos="1080"/>
      </w:tabs>
      <w:spacing w:line="280" w:lineRule="exact"/>
      <w:ind w:left="1152" w:right="288"/>
    </w:pPr>
  </w:style>
  <w:style w:type="paragraph" w:customStyle="1" w:styleId="question">
    <w:name w:val="question"/>
    <w:basedOn w:val="pF"/>
    <w:uiPriority w:val="99"/>
    <w:rsid w:val="00D842FF"/>
    <w:pPr>
      <w:ind w:hanging="720"/>
    </w:pPr>
  </w:style>
  <w:style w:type="paragraph" w:styleId="TOC6">
    <w:name w:val="toc 6"/>
    <w:basedOn w:val="Normal"/>
    <w:next w:val="Normal"/>
    <w:uiPriority w:val="99"/>
    <w:rsid w:val="00D842FF"/>
    <w:pPr>
      <w:tabs>
        <w:tab w:val="right" w:leader="dot" w:pos="9000"/>
      </w:tabs>
      <w:spacing w:line="240" w:lineRule="auto"/>
      <w:ind w:left="1200"/>
    </w:pPr>
  </w:style>
  <w:style w:type="paragraph" w:customStyle="1" w:styleId="Variabledefinition">
    <w:name w:val="Variable definition"/>
    <w:basedOn w:val="pD"/>
    <w:uiPriority w:val="99"/>
    <w:rsid w:val="00D842FF"/>
    <w:pPr>
      <w:tabs>
        <w:tab w:val="left" w:pos="720"/>
        <w:tab w:val="left" w:pos="1440"/>
        <w:tab w:val="left" w:pos="2160"/>
      </w:tabs>
      <w:ind w:left="2520" w:hanging="1800"/>
    </w:pPr>
    <w:rPr>
      <w:i/>
      <w:iCs/>
    </w:rPr>
  </w:style>
  <w:style w:type="paragraph" w:customStyle="1" w:styleId="tablefootnote">
    <w:name w:val="table footnote"/>
    <w:basedOn w:val="Normal"/>
    <w:link w:val="tablefootnoteChar"/>
    <w:uiPriority w:val="99"/>
    <w:rsid w:val="008E2E63"/>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F70106"/>
    <w:pPr>
      <w:tabs>
        <w:tab w:val="right" w:leader="dot" w:pos="9000"/>
      </w:tabs>
      <w:spacing w:before="120" w:after="130" w:line="240" w:lineRule="auto"/>
      <w:ind w:left="475" w:right="720" w:hanging="475"/>
    </w:pPr>
    <w:rPr>
      <w:rFonts w:ascii="Arial" w:hAnsi="Arial" w:cs="Arial"/>
    </w:rPr>
  </w:style>
  <w:style w:type="paragraph" w:styleId="BalloonText">
    <w:name w:val="Balloon Text"/>
    <w:basedOn w:val="Normal"/>
    <w:link w:val="BalloonTextChar"/>
    <w:uiPriority w:val="99"/>
    <w:rsid w:val="00D842FF"/>
    <w:rPr>
      <w:rFonts w:ascii="Tahoma" w:hAnsi="Tahoma" w:cs="Tahoma"/>
      <w:sz w:val="16"/>
      <w:szCs w:val="16"/>
    </w:rPr>
  </w:style>
  <w:style w:type="character" w:customStyle="1" w:styleId="BalloonTextChar">
    <w:name w:val="Balloon Text Char"/>
    <w:basedOn w:val="DefaultParagraphFont"/>
    <w:link w:val="BalloonText"/>
    <w:uiPriority w:val="99"/>
    <w:semiHidden/>
    <w:rsid w:val="0081778A"/>
    <w:rPr>
      <w:rFonts w:ascii="Times New Roman" w:hAnsi="Times New Roman"/>
      <w:sz w:val="0"/>
      <w:szCs w:val="0"/>
    </w:rPr>
  </w:style>
  <w:style w:type="character" w:styleId="CommentReference">
    <w:name w:val="annotation reference"/>
    <w:basedOn w:val="DefaultParagraphFont"/>
    <w:uiPriority w:val="99"/>
    <w:rsid w:val="00D842FF"/>
    <w:rPr>
      <w:rFonts w:cs="Times New Roman"/>
      <w:sz w:val="16"/>
    </w:rPr>
  </w:style>
  <w:style w:type="paragraph" w:styleId="CommentText">
    <w:name w:val="annotation text"/>
    <w:basedOn w:val="Normal"/>
    <w:link w:val="CommentTextChar"/>
    <w:uiPriority w:val="99"/>
    <w:rsid w:val="00D842FF"/>
    <w:rPr>
      <w:sz w:val="20"/>
      <w:szCs w:val="20"/>
    </w:rPr>
  </w:style>
  <w:style w:type="character" w:customStyle="1" w:styleId="CommentTextChar">
    <w:name w:val="Comment Text Char"/>
    <w:basedOn w:val="DefaultParagraphFont"/>
    <w:link w:val="CommentText"/>
    <w:uiPriority w:val="99"/>
    <w:locked/>
    <w:rsid w:val="00B253DF"/>
    <w:rPr>
      <w:rFonts w:ascii="Times New Roman" w:hAnsi="Times New Roman" w:cs="Times New Roman"/>
    </w:rPr>
  </w:style>
  <w:style w:type="paragraph" w:styleId="CommentSubject">
    <w:name w:val="annotation subject"/>
    <w:basedOn w:val="CommentText"/>
    <w:next w:val="CommentText"/>
    <w:link w:val="CommentSubjectChar"/>
    <w:uiPriority w:val="99"/>
    <w:rsid w:val="00D842FF"/>
    <w:rPr>
      <w:b/>
      <w:bCs/>
    </w:rPr>
  </w:style>
  <w:style w:type="character" w:customStyle="1" w:styleId="CommentSubjectChar">
    <w:name w:val="Comment Subject Char"/>
    <w:basedOn w:val="CommentTextChar"/>
    <w:link w:val="CommentSubject"/>
    <w:uiPriority w:val="99"/>
    <w:semiHidden/>
    <w:rsid w:val="0081778A"/>
    <w:rPr>
      <w:b/>
      <w:bCs/>
      <w:sz w:val="20"/>
      <w:szCs w:val="20"/>
    </w:rPr>
  </w:style>
  <w:style w:type="paragraph" w:styleId="DocumentMap">
    <w:name w:val="Document Map"/>
    <w:basedOn w:val="Normal"/>
    <w:link w:val="DocumentMapChar"/>
    <w:uiPriority w:val="99"/>
    <w:rsid w:val="00D842F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81778A"/>
    <w:rPr>
      <w:rFonts w:ascii="Times New Roman" w:hAnsi="Times New Roman"/>
      <w:sz w:val="0"/>
      <w:szCs w:val="0"/>
    </w:rPr>
  </w:style>
  <w:style w:type="character" w:styleId="PageNumber">
    <w:name w:val="page number"/>
    <w:basedOn w:val="DefaultParagraphFont"/>
    <w:uiPriority w:val="99"/>
    <w:rsid w:val="00D842FF"/>
    <w:rPr>
      <w:rFonts w:cs="Times New Roman"/>
    </w:rPr>
  </w:style>
  <w:style w:type="table" w:styleId="TableGrid">
    <w:name w:val="Table Grid"/>
    <w:basedOn w:val="TableNormal"/>
    <w:uiPriority w:val="99"/>
    <w:rsid w:val="00D842FF"/>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99"/>
    <w:qFormat/>
    <w:rsid w:val="00E251FF"/>
    <w:pPr>
      <w:spacing w:after="0" w:line="240" w:lineRule="auto"/>
      <w:contextualSpacing/>
      <w:jc w:val="right"/>
    </w:pPr>
    <w:rPr>
      <w:rFonts w:ascii="Arial" w:hAnsi="Arial"/>
      <w:b/>
      <w:color w:val="17365D"/>
      <w:spacing w:val="5"/>
      <w:kern w:val="28"/>
      <w:sz w:val="40"/>
      <w:szCs w:val="52"/>
    </w:rPr>
  </w:style>
  <w:style w:type="character" w:customStyle="1" w:styleId="TitleChar">
    <w:name w:val="Title Char"/>
    <w:basedOn w:val="DefaultParagraphFont"/>
    <w:link w:val="Title"/>
    <w:uiPriority w:val="99"/>
    <w:locked/>
    <w:rsid w:val="00E251FF"/>
    <w:rPr>
      <w:rFonts w:ascii="Arial" w:hAnsi="Arial" w:cs="Times New Roman"/>
      <w:b/>
      <w:color w:val="17365D"/>
      <w:spacing w:val="5"/>
      <w:kern w:val="28"/>
      <w:sz w:val="52"/>
      <w:szCs w:val="52"/>
    </w:rPr>
  </w:style>
  <w:style w:type="character" w:styleId="Hyperlink">
    <w:name w:val="Hyperlink"/>
    <w:basedOn w:val="DefaultParagraphFont"/>
    <w:uiPriority w:val="99"/>
    <w:rsid w:val="00D842FF"/>
    <w:rPr>
      <w:rFonts w:cs="Times New Roman"/>
      <w:color w:val="0000FF"/>
      <w:u w:val="single"/>
    </w:rPr>
  </w:style>
  <w:style w:type="paragraph" w:customStyle="1" w:styleId="CEUSIndent5">
    <w:name w:val="CEUS_Indent5"/>
    <w:basedOn w:val="pE"/>
    <w:uiPriority w:val="99"/>
    <w:rsid w:val="00D842FF"/>
    <w:pPr>
      <w:ind w:left="2070" w:hanging="432"/>
    </w:pPr>
    <w:rPr>
      <w:szCs w:val="20"/>
    </w:rPr>
  </w:style>
  <w:style w:type="paragraph" w:styleId="ListBullet2">
    <w:name w:val="List Bullet 2"/>
    <w:basedOn w:val="Normal"/>
    <w:uiPriority w:val="99"/>
    <w:rsid w:val="00D842FF"/>
    <w:pPr>
      <w:numPr>
        <w:numId w:val="6"/>
      </w:numPr>
      <w:ind w:left="1800"/>
      <w:contextualSpacing/>
    </w:pPr>
  </w:style>
  <w:style w:type="paragraph" w:styleId="ListParagraph">
    <w:name w:val="List Paragraph"/>
    <w:basedOn w:val="Normal"/>
    <w:uiPriority w:val="99"/>
    <w:qFormat/>
    <w:rsid w:val="00D842FF"/>
    <w:pPr>
      <w:spacing w:after="80"/>
    </w:pPr>
  </w:style>
  <w:style w:type="paragraph" w:customStyle="1" w:styleId="CoverTitle">
    <w:name w:val="CoverTitle"/>
    <w:basedOn w:val="Normal"/>
    <w:link w:val="CoverTitleChar"/>
    <w:uiPriority w:val="99"/>
    <w:rsid w:val="00D842FF"/>
    <w:pPr>
      <w:spacing w:after="120"/>
      <w:jc w:val="center"/>
    </w:pPr>
    <w:rPr>
      <w:rFonts w:ascii="Arial" w:hAnsi="Arial"/>
      <w:b/>
      <w:sz w:val="40"/>
    </w:rPr>
  </w:style>
  <w:style w:type="character" w:customStyle="1" w:styleId="CoverTitleChar">
    <w:name w:val="CoverTitle Char"/>
    <w:basedOn w:val="DefaultParagraphFont"/>
    <w:link w:val="CoverTitle"/>
    <w:uiPriority w:val="99"/>
    <w:locked/>
    <w:rsid w:val="00D842FF"/>
    <w:rPr>
      <w:rFonts w:ascii="Arial" w:hAnsi="Arial" w:cs="Times New Roman"/>
      <w:b/>
      <w:sz w:val="24"/>
      <w:szCs w:val="24"/>
    </w:rPr>
  </w:style>
  <w:style w:type="paragraph" w:customStyle="1" w:styleId="CoverNormal">
    <w:name w:val="CoverNormal"/>
    <w:basedOn w:val="Normal"/>
    <w:link w:val="CoverNormalChar"/>
    <w:uiPriority w:val="99"/>
    <w:rsid w:val="00D842FF"/>
    <w:pPr>
      <w:contextualSpacing/>
      <w:jc w:val="center"/>
    </w:pPr>
    <w:rPr>
      <w:rFonts w:ascii="Arial" w:hAnsi="Arial"/>
    </w:rPr>
  </w:style>
  <w:style w:type="character" w:customStyle="1" w:styleId="CoverNormalChar">
    <w:name w:val="CoverNormal Char"/>
    <w:basedOn w:val="DefaultParagraphFont"/>
    <w:link w:val="CoverNormal"/>
    <w:uiPriority w:val="99"/>
    <w:locked/>
    <w:rsid w:val="00D842FF"/>
    <w:rPr>
      <w:rFonts w:ascii="Arial" w:hAnsi="Arial" w:cs="Times New Roman"/>
      <w:sz w:val="24"/>
      <w:szCs w:val="24"/>
    </w:rPr>
  </w:style>
  <w:style w:type="paragraph" w:customStyle="1" w:styleId="Halfline">
    <w:name w:val="Halfline"/>
    <w:basedOn w:val="Normal"/>
    <w:next w:val="Normal"/>
    <w:link w:val="HalflineChar"/>
    <w:uiPriority w:val="99"/>
    <w:rsid w:val="00DE632E"/>
    <w:pPr>
      <w:spacing w:after="130" w:line="130" w:lineRule="exact"/>
      <w:jc w:val="left"/>
    </w:pPr>
  </w:style>
  <w:style w:type="character" w:customStyle="1" w:styleId="HalflineChar">
    <w:name w:val="Halfline Char"/>
    <w:basedOn w:val="DefaultParagraphFont"/>
    <w:link w:val="Halfline"/>
    <w:uiPriority w:val="99"/>
    <w:locked/>
    <w:rsid w:val="00DE632E"/>
    <w:rPr>
      <w:rFonts w:ascii="Times New Roman" w:hAnsi="Times New Roman" w:cs="Times New Roman"/>
      <w:sz w:val="24"/>
      <w:szCs w:val="24"/>
    </w:rPr>
  </w:style>
  <w:style w:type="paragraph" w:customStyle="1" w:styleId="LetterheadParagraph">
    <w:name w:val="Letterhead Paragraph"/>
    <w:basedOn w:val="Normal"/>
    <w:uiPriority w:val="99"/>
    <w:rsid w:val="00573DEC"/>
    <w:pPr>
      <w:spacing w:after="0"/>
    </w:pPr>
    <w:rPr>
      <w:rFonts w:ascii="Arial Narrow" w:hAnsi="Arial Narrow"/>
    </w:rPr>
  </w:style>
  <w:style w:type="character" w:customStyle="1" w:styleId="tablefootnoteChar">
    <w:name w:val="table footnote Char"/>
    <w:basedOn w:val="DefaultParagraphFont"/>
    <w:link w:val="tablefootnote"/>
    <w:uiPriority w:val="99"/>
    <w:locked/>
    <w:rsid w:val="009D0319"/>
    <w:rPr>
      <w:rFonts w:ascii="Times New Roman" w:hAnsi="Times New Roman" w:cs="Times New Roman"/>
    </w:rPr>
  </w:style>
  <w:style w:type="paragraph" w:customStyle="1" w:styleId="TitleSub">
    <w:name w:val="TitleSub"/>
    <w:basedOn w:val="Title"/>
    <w:link w:val="TitleSubChar"/>
    <w:autoRedefine/>
    <w:uiPriority w:val="99"/>
    <w:rsid w:val="00682A57"/>
    <w:rPr>
      <w:b w:val="0"/>
      <w:sz w:val="32"/>
    </w:rPr>
  </w:style>
  <w:style w:type="character" w:customStyle="1" w:styleId="TitleSubChar">
    <w:name w:val="TitleSub Char"/>
    <w:basedOn w:val="TitleChar"/>
    <w:link w:val="TitleSub"/>
    <w:uiPriority w:val="99"/>
    <w:locked/>
    <w:rsid w:val="00682A57"/>
  </w:style>
  <w:style w:type="paragraph" w:customStyle="1" w:styleId="TitleAdd">
    <w:name w:val="TitleAdd"/>
    <w:basedOn w:val="Title"/>
    <w:link w:val="TitleAddChar"/>
    <w:autoRedefine/>
    <w:uiPriority w:val="99"/>
    <w:rsid w:val="00682A57"/>
    <w:rPr>
      <w:b w:val="0"/>
      <w:sz w:val="24"/>
      <w:szCs w:val="32"/>
    </w:rPr>
  </w:style>
  <w:style w:type="character" w:customStyle="1" w:styleId="TitleAddChar">
    <w:name w:val="TitleAdd Char"/>
    <w:basedOn w:val="TitleChar"/>
    <w:link w:val="TitleAdd"/>
    <w:uiPriority w:val="99"/>
    <w:locked/>
    <w:rsid w:val="00682A57"/>
    <w:rPr>
      <w:sz w:val="32"/>
      <w:szCs w:val="32"/>
    </w:rPr>
  </w:style>
  <w:style w:type="table" w:customStyle="1" w:styleId="ItronBasic">
    <w:name w:val="ItronBasic"/>
    <w:uiPriority w:val="99"/>
    <w:rsid w:val="00B2276F"/>
    <w:rPr>
      <w:sz w:val="20"/>
      <w:szCs w:val="20"/>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table" w:styleId="TableProfessional">
    <w:name w:val="Table Professional"/>
    <w:basedOn w:val="TableNormal"/>
    <w:uiPriority w:val="99"/>
    <w:rsid w:val="0050194C"/>
    <w:pPr>
      <w:spacing w:after="280"/>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uiPriority w:val="99"/>
    <w:rsid w:val="0050194C"/>
    <w:pPr>
      <w:autoSpaceDE w:val="0"/>
      <w:autoSpaceDN w:val="0"/>
      <w:adjustRightInd w:val="0"/>
    </w:pPr>
    <w:rPr>
      <w:rFonts w:ascii="Times New Roman" w:hAnsi="Times New Roman"/>
      <w:color w:val="000000"/>
      <w:sz w:val="24"/>
      <w:szCs w:val="24"/>
    </w:rPr>
  </w:style>
  <w:style w:type="numbering" w:customStyle="1" w:styleId="CnAListBullets">
    <w:name w:val="CnAListBullets"/>
    <w:rsid w:val="0081778A"/>
    <w:pPr>
      <w:numPr>
        <w:numId w:val="7"/>
      </w:numPr>
    </w:pPr>
  </w:style>
  <w:style w:type="numbering" w:customStyle="1" w:styleId="Itron">
    <w:name w:val="Itron"/>
    <w:rsid w:val="0081778A"/>
    <w:pPr>
      <w:numPr>
        <w:numId w:val="6"/>
      </w:numPr>
    </w:pPr>
  </w:style>
</w:styles>
</file>

<file path=word/webSettings.xml><?xml version="1.0" encoding="utf-8"?>
<w:webSettings xmlns:r="http://schemas.openxmlformats.org/officeDocument/2006/relationships" xmlns:w="http://schemas.openxmlformats.org/wordprocessingml/2006/main">
  <w:divs>
    <w:div w:id="294263556">
      <w:marLeft w:val="0"/>
      <w:marRight w:val="0"/>
      <w:marTop w:val="0"/>
      <w:marBottom w:val="0"/>
      <w:divBdr>
        <w:top w:val="none" w:sz="0" w:space="0" w:color="auto"/>
        <w:left w:val="none" w:sz="0" w:space="0" w:color="auto"/>
        <w:bottom w:val="none" w:sz="0" w:space="0" w:color="auto"/>
        <w:right w:val="none" w:sz="0" w:space="0" w:color="auto"/>
      </w:divBdr>
    </w:div>
    <w:div w:id="294263557">
      <w:marLeft w:val="0"/>
      <w:marRight w:val="0"/>
      <w:marTop w:val="0"/>
      <w:marBottom w:val="0"/>
      <w:divBdr>
        <w:top w:val="none" w:sz="0" w:space="0" w:color="auto"/>
        <w:left w:val="none" w:sz="0" w:space="0" w:color="auto"/>
        <w:bottom w:val="none" w:sz="0" w:space="0" w:color="auto"/>
        <w:right w:val="none" w:sz="0" w:space="0" w:color="auto"/>
      </w:divBdr>
    </w:div>
    <w:div w:id="2942635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CleanCopies\C&amp;A-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C&amp;A-Normal.dotm</Template>
  <TotalTime>10</TotalTime>
  <Pages>7</Pages>
  <Words>1772</Words>
  <Characters>10095</Characters>
  <Application>Microsoft Office Word</Application>
  <DocSecurity>0</DocSecurity>
  <Lines>84</Lines>
  <Paragraphs>23</Paragraphs>
  <ScaleCrop>false</ScaleCrop>
  <Company>Itron</Company>
  <LinksUpToDate>false</LinksUpToDate>
  <CharactersWithSpaces>11844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Messenger, Mike</dc:creator>
  <cp:lastModifiedBy>ALEXK</cp:lastModifiedBy>
  <cp:revision>4</cp:revision>
  <cp:lastPrinted>2009-01-22T17:29:00Z</cp:lastPrinted>
  <dcterms:created xsi:type="dcterms:W3CDTF">2011-11-04T02:21:00Z</dcterms:created>
  <dcterms:modified xsi:type="dcterms:W3CDTF">2011-11-08T19:46:00Z</dcterms:modified>
</cp:coreProperties>
</file>